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D14E5">
      <w:pPr>
        <w:pStyle w:val="7"/>
        <w:keepNext w:val="0"/>
        <w:keepLines w:val="0"/>
        <w:widowControl/>
        <w:suppressLineNumbers w:val="0"/>
        <w:ind w:left="0" w:firstLine="0"/>
        <w:jc w:val="center"/>
        <w:rPr>
          <w:rFonts w:ascii="微软雅黑" w:hAnsi="微软雅黑" w:eastAsia="微软雅黑" w:cs="微软雅黑"/>
          <w:i w:val="0"/>
          <w:iCs w:val="0"/>
          <w:caps w:val="0"/>
          <w:color w:val="000000"/>
          <w:spacing w:val="0"/>
          <w:sz w:val="36"/>
          <w:szCs w:val="36"/>
        </w:rPr>
      </w:pPr>
      <w:r>
        <w:rPr>
          <w:rFonts w:hint="eastAsia" w:ascii="微软雅黑" w:hAnsi="微软雅黑" w:eastAsia="微软雅黑" w:cs="微软雅黑"/>
          <w:i w:val="0"/>
          <w:iCs w:val="0"/>
          <w:caps w:val="0"/>
          <w:color w:val="000000"/>
          <w:spacing w:val="0"/>
          <w:sz w:val="36"/>
          <w:szCs w:val="36"/>
          <w:lang w:val="en-US" w:eastAsia="zh-CN"/>
        </w:rPr>
        <w:t>2025-2026</w:t>
      </w:r>
      <w:r>
        <w:rPr>
          <w:rFonts w:hint="eastAsia" w:ascii="微软雅黑" w:hAnsi="微软雅黑" w:eastAsia="微软雅黑" w:cs="微软雅黑"/>
          <w:i w:val="0"/>
          <w:iCs w:val="0"/>
          <w:caps w:val="0"/>
          <w:color w:val="000000"/>
          <w:spacing w:val="0"/>
          <w:sz w:val="36"/>
          <w:szCs w:val="36"/>
        </w:rPr>
        <w:t>学年第</w:t>
      </w:r>
      <w:r>
        <w:rPr>
          <w:rFonts w:hint="eastAsia" w:ascii="微软雅黑" w:hAnsi="微软雅黑" w:eastAsia="微软雅黑" w:cs="微软雅黑"/>
          <w:i w:val="0"/>
          <w:iCs w:val="0"/>
          <w:caps w:val="0"/>
          <w:color w:val="000000"/>
          <w:spacing w:val="0"/>
          <w:sz w:val="36"/>
          <w:szCs w:val="36"/>
          <w:lang w:val="en-US" w:eastAsia="zh-CN"/>
        </w:rPr>
        <w:t>二</w:t>
      </w:r>
      <w:r>
        <w:rPr>
          <w:rFonts w:hint="eastAsia" w:ascii="微软雅黑" w:hAnsi="微软雅黑" w:eastAsia="微软雅黑" w:cs="微软雅黑"/>
          <w:i w:val="0"/>
          <w:iCs w:val="0"/>
          <w:caps w:val="0"/>
          <w:color w:val="000000"/>
          <w:spacing w:val="0"/>
          <w:sz w:val="36"/>
          <w:szCs w:val="36"/>
        </w:rPr>
        <w:t>学期智慧树、超星尔雅平台</w:t>
      </w:r>
    </w:p>
    <w:p w14:paraId="0A6C27A9">
      <w:pPr>
        <w:pStyle w:val="7"/>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36"/>
          <w:szCs w:val="36"/>
        </w:rPr>
      </w:pPr>
      <w:r>
        <w:rPr>
          <w:rFonts w:hint="eastAsia" w:ascii="微软雅黑" w:hAnsi="微软雅黑" w:eastAsia="微软雅黑" w:cs="微软雅黑"/>
          <w:i w:val="0"/>
          <w:iCs w:val="0"/>
          <w:caps w:val="0"/>
          <w:color w:val="000000"/>
          <w:spacing w:val="0"/>
          <w:sz w:val="36"/>
          <w:szCs w:val="36"/>
        </w:rPr>
        <w:t>在线课程汇总表</w:t>
      </w:r>
    </w:p>
    <w:tbl>
      <w:tblPr>
        <w:tblStyle w:val="8"/>
        <w:tblW w:w="10673" w:type="dxa"/>
        <w:tblInd w:w="-1041" w:type="dxa"/>
        <w:tblLayout w:type="fixed"/>
        <w:tblCellMar>
          <w:top w:w="0" w:type="dxa"/>
          <w:left w:w="108" w:type="dxa"/>
          <w:bottom w:w="0" w:type="dxa"/>
          <w:right w:w="108" w:type="dxa"/>
        </w:tblCellMar>
      </w:tblPr>
      <w:tblGrid>
        <w:gridCol w:w="3381"/>
        <w:gridCol w:w="3496"/>
        <w:gridCol w:w="1235"/>
        <w:gridCol w:w="1258"/>
        <w:gridCol w:w="1303"/>
      </w:tblGrid>
      <w:tr w14:paraId="7D6C07FC">
        <w:tblPrEx>
          <w:tblCellMar>
            <w:top w:w="0" w:type="dxa"/>
            <w:left w:w="108" w:type="dxa"/>
            <w:bottom w:w="0" w:type="dxa"/>
            <w:right w:w="108" w:type="dxa"/>
          </w:tblCellMar>
        </w:tblPrEx>
        <w:trPr>
          <w:trHeight w:val="680" w:hRule="exact"/>
        </w:trPr>
        <w:tc>
          <w:tcPr>
            <w:tcW w:w="10673" w:type="dxa"/>
            <w:gridSpan w:val="5"/>
            <w:tcBorders>
              <w:top w:val="single" w:color="000000" w:sz="8" w:space="0"/>
              <w:left w:val="single" w:color="000000" w:sz="8" w:space="0"/>
              <w:bottom w:val="single" w:color="auto" w:sz="8" w:space="0"/>
              <w:right w:val="single" w:color="000000" w:sz="8" w:space="0"/>
            </w:tcBorders>
          </w:tcPr>
          <w:p w14:paraId="198D62D0">
            <w:pPr>
              <w:widowControl/>
              <w:jc w:val="center"/>
              <w:textAlignment w:val="top"/>
              <w:rPr>
                <w:rFonts w:hint="eastAsia" w:ascii="微软雅黑" w:hAnsi="微软雅黑" w:eastAsia="微软雅黑" w:cs="微软雅黑"/>
                <w:b/>
                <w:color w:val="3F3F3F"/>
                <w:kern w:val="0"/>
                <w:sz w:val="24"/>
                <w:szCs w:val="24"/>
                <w:lang w:bidi="ar"/>
              </w:rPr>
            </w:pPr>
            <w:r>
              <w:rPr>
                <w:rFonts w:hint="eastAsia" w:ascii="微软雅黑" w:hAnsi="微软雅黑" w:eastAsia="微软雅黑" w:cs="微软雅黑"/>
                <w:b/>
                <w:color w:val="3F3F3F"/>
                <w:kern w:val="0"/>
                <w:sz w:val="24"/>
                <w:szCs w:val="24"/>
                <w:lang w:bidi="ar"/>
              </w:rPr>
              <w:t>智慧树平台课程简介</w:t>
            </w:r>
          </w:p>
        </w:tc>
      </w:tr>
      <w:tr w14:paraId="3A54C38D">
        <w:tblPrEx>
          <w:tblCellMar>
            <w:top w:w="0" w:type="dxa"/>
            <w:left w:w="108" w:type="dxa"/>
            <w:bottom w:w="0" w:type="dxa"/>
            <w:right w:w="108" w:type="dxa"/>
          </w:tblCellMar>
        </w:tblPrEx>
        <w:trPr>
          <w:trHeight w:val="680" w:hRule="exact"/>
        </w:trPr>
        <w:tc>
          <w:tcPr>
            <w:tcW w:w="3381" w:type="dxa"/>
            <w:tcBorders>
              <w:top w:val="single" w:color="000000" w:sz="8" w:space="0"/>
              <w:left w:val="single" w:color="000000" w:sz="8" w:space="0"/>
              <w:bottom w:val="single" w:color="auto" w:sz="8" w:space="0"/>
              <w:right w:val="single" w:color="000000" w:sz="8" w:space="0"/>
            </w:tcBorders>
          </w:tcPr>
          <w:p w14:paraId="4D9B4885">
            <w:pPr>
              <w:widowControl/>
              <w:jc w:val="center"/>
              <w:textAlignment w:val="top"/>
              <w:rPr>
                <w:rFonts w:ascii="微软雅黑" w:hAnsi="微软雅黑" w:eastAsia="微软雅黑" w:cs="微软雅黑"/>
                <w:color w:val="3F3F3F"/>
                <w:kern w:val="0"/>
                <w:sz w:val="24"/>
                <w:szCs w:val="24"/>
                <w:lang w:bidi="ar"/>
              </w:rPr>
            </w:pPr>
            <w:r>
              <w:rPr>
                <w:rFonts w:hint="eastAsia" w:ascii="微软雅黑" w:hAnsi="微软雅黑" w:eastAsia="微软雅黑" w:cs="微软雅黑"/>
                <w:color w:val="3F3F3F"/>
                <w:kern w:val="0"/>
                <w:sz w:val="24"/>
                <w:szCs w:val="24"/>
                <w:lang w:bidi="ar"/>
              </w:rPr>
              <w:t>课程类别</w:t>
            </w:r>
          </w:p>
        </w:tc>
        <w:tc>
          <w:tcPr>
            <w:tcW w:w="3496" w:type="dxa"/>
            <w:tcBorders>
              <w:top w:val="single" w:color="000000" w:sz="8" w:space="0"/>
              <w:left w:val="single" w:color="000000" w:sz="8" w:space="0"/>
              <w:bottom w:val="single" w:color="auto" w:sz="8" w:space="0"/>
              <w:right w:val="single" w:color="000000" w:sz="8" w:space="0"/>
            </w:tcBorders>
            <w:shd w:val="clear" w:color="auto" w:fill="auto"/>
          </w:tcPr>
          <w:p w14:paraId="414D6998">
            <w:pPr>
              <w:widowControl/>
              <w:jc w:val="center"/>
              <w:textAlignment w:val="top"/>
              <w:rPr>
                <w:rFonts w:ascii="微软雅黑" w:hAnsi="微软雅黑" w:eastAsia="微软雅黑" w:cs="微软雅黑"/>
                <w:color w:val="3F3F3F"/>
                <w:sz w:val="24"/>
              </w:rPr>
            </w:pPr>
            <w:r>
              <w:rPr>
                <w:rFonts w:hint="eastAsia" w:ascii="微软雅黑" w:hAnsi="微软雅黑" w:eastAsia="微软雅黑" w:cs="微软雅黑"/>
                <w:color w:val="3F3F3F"/>
                <w:kern w:val="0"/>
                <w:sz w:val="24"/>
                <w:szCs w:val="24"/>
                <w:lang w:bidi="ar"/>
              </w:rPr>
              <w:t>课程名称</w:t>
            </w:r>
          </w:p>
        </w:tc>
        <w:tc>
          <w:tcPr>
            <w:tcW w:w="1235" w:type="dxa"/>
            <w:tcBorders>
              <w:top w:val="single" w:color="000000" w:sz="8" w:space="0"/>
              <w:left w:val="single" w:color="000000" w:sz="8" w:space="0"/>
              <w:bottom w:val="single" w:color="auto" w:sz="4" w:space="0"/>
              <w:right w:val="single" w:color="000000" w:sz="8" w:space="0"/>
            </w:tcBorders>
            <w:shd w:val="clear" w:color="auto" w:fill="auto"/>
          </w:tcPr>
          <w:p w14:paraId="1D863A04">
            <w:pPr>
              <w:widowControl/>
              <w:jc w:val="center"/>
              <w:textAlignment w:val="top"/>
              <w:rPr>
                <w:rFonts w:hint="eastAsia" w:ascii="微软雅黑" w:hAnsi="微软雅黑" w:eastAsia="微软雅黑" w:cs="微软雅黑"/>
                <w:color w:val="3F3F3F"/>
                <w:sz w:val="24"/>
                <w:lang w:eastAsia="zh-CN"/>
              </w:rPr>
            </w:pPr>
            <w:r>
              <w:rPr>
                <w:rFonts w:hint="eastAsia" w:ascii="微软雅黑" w:hAnsi="微软雅黑" w:eastAsia="微软雅黑" w:cs="微软雅黑"/>
                <w:color w:val="3F3F3F"/>
                <w:kern w:val="0"/>
                <w:sz w:val="24"/>
                <w:szCs w:val="24"/>
                <w:lang w:val="en-US" w:eastAsia="zh-CN" w:bidi="ar"/>
              </w:rPr>
              <w:t>学分</w:t>
            </w:r>
          </w:p>
        </w:tc>
        <w:tc>
          <w:tcPr>
            <w:tcW w:w="1258" w:type="dxa"/>
            <w:tcBorders>
              <w:top w:val="single" w:color="000000" w:sz="8" w:space="0"/>
              <w:left w:val="single" w:color="000000" w:sz="8" w:space="0"/>
              <w:bottom w:val="single" w:color="000000" w:sz="8" w:space="0"/>
              <w:right w:val="single" w:color="000000" w:sz="8" w:space="0"/>
            </w:tcBorders>
            <w:shd w:val="clear" w:color="auto" w:fill="auto"/>
            <w:vAlign w:val="top"/>
          </w:tcPr>
          <w:p w14:paraId="055EED73">
            <w:pPr>
              <w:widowControl/>
              <w:jc w:val="center"/>
              <w:textAlignment w:val="top"/>
              <w:rPr>
                <w:rFonts w:ascii="微软雅黑" w:hAnsi="微软雅黑" w:eastAsia="微软雅黑" w:cs="微软雅黑"/>
                <w:color w:val="3F3F3F"/>
                <w:sz w:val="24"/>
              </w:rPr>
            </w:pPr>
            <w:r>
              <w:rPr>
                <w:rFonts w:hint="eastAsia" w:ascii="微软雅黑" w:hAnsi="微软雅黑" w:eastAsia="微软雅黑" w:cs="微软雅黑"/>
                <w:color w:val="3F3F3F"/>
                <w:kern w:val="0"/>
                <w:sz w:val="24"/>
                <w:szCs w:val="24"/>
                <w:lang w:bidi="ar"/>
              </w:rPr>
              <w:t>开课平台</w:t>
            </w:r>
          </w:p>
        </w:tc>
        <w:tc>
          <w:tcPr>
            <w:tcW w:w="1303" w:type="dxa"/>
            <w:tcBorders>
              <w:top w:val="single" w:color="000000" w:sz="8" w:space="0"/>
              <w:left w:val="single" w:color="000000" w:sz="8" w:space="0"/>
              <w:bottom w:val="single" w:color="000000" w:sz="8" w:space="0"/>
              <w:right w:val="single" w:color="000000" w:sz="8" w:space="0"/>
            </w:tcBorders>
            <w:shd w:val="clear" w:color="auto" w:fill="auto"/>
            <w:vAlign w:val="top"/>
          </w:tcPr>
          <w:p w14:paraId="74D254C8">
            <w:pPr>
              <w:widowControl/>
              <w:jc w:val="center"/>
              <w:textAlignment w:val="top"/>
              <w:rPr>
                <w:rFonts w:hint="eastAsia" w:ascii="微软雅黑" w:hAnsi="微软雅黑" w:eastAsia="微软雅黑" w:cs="微软雅黑"/>
                <w:color w:val="3F3F3F"/>
                <w:kern w:val="0"/>
                <w:sz w:val="24"/>
                <w:szCs w:val="24"/>
                <w:lang w:bidi="ar"/>
              </w:rPr>
            </w:pPr>
            <w:r>
              <w:rPr>
                <w:rFonts w:hint="eastAsia" w:ascii="微软雅黑" w:hAnsi="微软雅黑" w:eastAsia="微软雅黑" w:cs="微软雅黑"/>
                <w:color w:val="3F3F3F"/>
                <w:kern w:val="0"/>
                <w:sz w:val="24"/>
                <w:szCs w:val="24"/>
                <w:lang w:bidi="ar"/>
              </w:rPr>
              <w:t>线上/线下</w:t>
            </w:r>
          </w:p>
        </w:tc>
      </w:tr>
      <w:tr w14:paraId="5E2C94C8">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7690D6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类（人文社科）</w:t>
            </w:r>
          </w:p>
        </w:tc>
        <w:tc>
          <w:tcPr>
            <w:tcW w:w="3496" w:type="dxa"/>
            <w:tcBorders>
              <w:top w:val="single" w:color="auto" w:sz="8" w:space="0"/>
              <w:left w:val="single" w:color="auto" w:sz="8" w:space="0"/>
              <w:bottom w:val="single" w:color="auto" w:sz="8" w:space="0"/>
              <w:right w:val="single" w:color="auto" w:sz="4" w:space="0"/>
            </w:tcBorders>
            <w:shd w:val="clear"/>
            <w:vAlign w:val="center"/>
          </w:tcPr>
          <w:p w14:paraId="2B10A8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伟大的《红楼梦》</w:t>
            </w:r>
          </w:p>
        </w:tc>
        <w:tc>
          <w:tcPr>
            <w:tcW w:w="1235" w:type="dxa"/>
            <w:tcBorders>
              <w:top w:val="single" w:color="auto" w:sz="4" w:space="0"/>
              <w:left w:val="single" w:color="auto" w:sz="4" w:space="0"/>
              <w:bottom w:val="single" w:color="auto" w:sz="4" w:space="0"/>
              <w:right w:val="single" w:color="auto" w:sz="4" w:space="0"/>
            </w:tcBorders>
            <w:shd w:val="clear"/>
            <w:vAlign w:val="center"/>
          </w:tcPr>
          <w:p w14:paraId="626CDFB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restart"/>
            <w:tcBorders>
              <w:top w:val="single" w:color="000000" w:sz="8" w:space="0"/>
              <w:left w:val="single" w:color="auto" w:sz="4" w:space="0"/>
              <w:right w:val="single" w:color="000000" w:sz="8" w:space="0"/>
            </w:tcBorders>
            <w:shd w:val="clear" w:color="auto" w:fill="auto"/>
            <w:vAlign w:val="center"/>
          </w:tcPr>
          <w:p w14:paraId="0245B4B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智慧树</w:t>
            </w:r>
          </w:p>
        </w:tc>
        <w:tc>
          <w:tcPr>
            <w:tcW w:w="1303" w:type="dxa"/>
            <w:vMerge w:val="restart"/>
            <w:tcBorders>
              <w:top w:val="single" w:color="000000" w:sz="8" w:space="0"/>
              <w:left w:val="single" w:color="000000" w:sz="8" w:space="0"/>
              <w:right w:val="single" w:color="000000" w:sz="8" w:space="0"/>
            </w:tcBorders>
            <w:shd w:val="clear" w:color="auto" w:fill="auto"/>
            <w:vAlign w:val="center"/>
          </w:tcPr>
          <w:p w14:paraId="41E8F9D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线上</w:t>
            </w:r>
          </w:p>
        </w:tc>
      </w:tr>
      <w:tr w14:paraId="2D2CA45D">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77619C2F">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类（人文社科）</w:t>
            </w:r>
          </w:p>
        </w:tc>
        <w:tc>
          <w:tcPr>
            <w:tcW w:w="3496" w:type="dxa"/>
            <w:tcBorders>
              <w:top w:val="single" w:color="auto" w:sz="8" w:space="0"/>
              <w:left w:val="single" w:color="auto" w:sz="8" w:space="0"/>
              <w:bottom w:val="single" w:color="auto" w:sz="8" w:space="0"/>
              <w:right w:val="single" w:color="auto" w:sz="4" w:space="0"/>
            </w:tcBorders>
            <w:shd w:val="clear"/>
            <w:vAlign w:val="center"/>
          </w:tcPr>
          <w:p w14:paraId="28A604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中国古典诗词中的品格与修养</w:t>
            </w:r>
          </w:p>
        </w:tc>
        <w:tc>
          <w:tcPr>
            <w:tcW w:w="1235" w:type="dxa"/>
            <w:tcBorders>
              <w:top w:val="single" w:color="auto" w:sz="4" w:space="0"/>
              <w:left w:val="single" w:color="auto" w:sz="4" w:space="0"/>
              <w:bottom w:val="single" w:color="auto" w:sz="4" w:space="0"/>
              <w:right w:val="single" w:color="auto" w:sz="4" w:space="0"/>
            </w:tcBorders>
            <w:shd w:val="clear"/>
            <w:vAlign w:val="center"/>
          </w:tcPr>
          <w:p w14:paraId="76F1E3B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73C258F7">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4AC282A1">
            <w:pPr>
              <w:jc w:val="center"/>
              <w:rPr>
                <w:rFonts w:ascii="宋体" w:hAnsi="宋体" w:eastAsia="宋体" w:cs="宋体"/>
                <w:color w:val="000000"/>
                <w:kern w:val="0"/>
                <w:sz w:val="20"/>
                <w:szCs w:val="20"/>
                <w:lang w:bidi="ar"/>
              </w:rPr>
            </w:pPr>
          </w:p>
        </w:tc>
      </w:tr>
      <w:tr w14:paraId="53198652">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388F37F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类（人文社科）</w:t>
            </w:r>
          </w:p>
        </w:tc>
        <w:tc>
          <w:tcPr>
            <w:tcW w:w="3496" w:type="dxa"/>
            <w:tcBorders>
              <w:top w:val="single" w:color="auto" w:sz="8" w:space="0"/>
              <w:left w:val="single" w:color="auto" w:sz="8" w:space="0"/>
              <w:bottom w:val="single" w:color="auto" w:sz="8" w:space="0"/>
              <w:right w:val="single" w:color="auto" w:sz="4" w:space="0"/>
            </w:tcBorders>
            <w:shd w:val="clear"/>
            <w:vAlign w:val="center"/>
          </w:tcPr>
          <w:p w14:paraId="2BD0FE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死亡文化与生死教育</w:t>
            </w:r>
          </w:p>
        </w:tc>
        <w:tc>
          <w:tcPr>
            <w:tcW w:w="1235" w:type="dxa"/>
            <w:tcBorders>
              <w:top w:val="single" w:color="auto" w:sz="4" w:space="0"/>
              <w:left w:val="single" w:color="auto" w:sz="4" w:space="0"/>
              <w:bottom w:val="single" w:color="auto" w:sz="4" w:space="0"/>
              <w:right w:val="single" w:color="auto" w:sz="4" w:space="0"/>
            </w:tcBorders>
            <w:shd w:val="clear"/>
            <w:vAlign w:val="center"/>
          </w:tcPr>
          <w:p w14:paraId="3F59EE3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71DE398E">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5098A4E6">
            <w:pPr>
              <w:jc w:val="center"/>
              <w:rPr>
                <w:rFonts w:ascii="宋体" w:hAnsi="宋体" w:eastAsia="宋体" w:cs="宋体"/>
                <w:color w:val="000000"/>
                <w:kern w:val="0"/>
                <w:sz w:val="20"/>
                <w:szCs w:val="20"/>
                <w:lang w:bidi="ar"/>
              </w:rPr>
            </w:pPr>
          </w:p>
        </w:tc>
      </w:tr>
      <w:tr w14:paraId="7B65DFCB">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009BAE01">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c>
          <w:tcPr>
            <w:tcW w:w="3496" w:type="dxa"/>
            <w:tcBorders>
              <w:top w:val="single" w:color="auto" w:sz="8" w:space="0"/>
              <w:left w:val="single" w:color="auto" w:sz="8" w:space="0"/>
              <w:bottom w:val="single" w:color="auto" w:sz="8" w:space="0"/>
              <w:right w:val="single" w:color="auto" w:sz="4" w:space="0"/>
            </w:tcBorders>
            <w:shd w:val="clear" w:color="auto" w:fill="FFFFFF"/>
            <w:vAlign w:val="center"/>
          </w:tcPr>
          <w:p w14:paraId="0D9ED8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人工智能与科学之美</w:t>
            </w:r>
          </w:p>
        </w:tc>
        <w:tc>
          <w:tcPr>
            <w:tcW w:w="1235" w:type="dxa"/>
            <w:tcBorders>
              <w:top w:val="single" w:color="auto" w:sz="4" w:space="0"/>
              <w:left w:val="single" w:color="auto" w:sz="4" w:space="0"/>
              <w:bottom w:val="single" w:color="auto" w:sz="4" w:space="0"/>
              <w:right w:val="single" w:color="auto" w:sz="4" w:space="0"/>
            </w:tcBorders>
            <w:shd w:val="clear" w:color="auto" w:fill="FFFFFF"/>
            <w:vAlign w:val="center"/>
          </w:tcPr>
          <w:p w14:paraId="759451E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553F5E78">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281FDE13">
            <w:pPr>
              <w:jc w:val="center"/>
              <w:rPr>
                <w:rFonts w:ascii="宋体" w:hAnsi="宋体" w:eastAsia="宋体" w:cs="宋体"/>
                <w:color w:val="000000"/>
                <w:kern w:val="0"/>
                <w:sz w:val="20"/>
                <w:szCs w:val="20"/>
                <w:lang w:bidi="ar"/>
              </w:rPr>
            </w:pPr>
          </w:p>
        </w:tc>
      </w:tr>
      <w:tr w14:paraId="513709DA">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25322D54">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c>
          <w:tcPr>
            <w:tcW w:w="3496" w:type="dxa"/>
            <w:tcBorders>
              <w:top w:val="single" w:color="auto" w:sz="8" w:space="0"/>
              <w:left w:val="single" w:color="auto" w:sz="8" w:space="0"/>
              <w:bottom w:val="single" w:color="auto" w:sz="8" w:space="0"/>
              <w:right w:val="single" w:color="auto" w:sz="4" w:space="0"/>
            </w:tcBorders>
            <w:shd w:val="clear" w:color="auto" w:fill="FFFFFF"/>
            <w:vAlign w:val="center"/>
          </w:tcPr>
          <w:p w14:paraId="330541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人工智能通识</w:t>
            </w:r>
          </w:p>
        </w:tc>
        <w:tc>
          <w:tcPr>
            <w:tcW w:w="1235" w:type="dxa"/>
            <w:tcBorders>
              <w:top w:val="single" w:color="auto" w:sz="4" w:space="0"/>
              <w:left w:val="single" w:color="auto" w:sz="4" w:space="0"/>
              <w:bottom w:val="single" w:color="auto" w:sz="4" w:space="0"/>
              <w:right w:val="single" w:color="auto" w:sz="4" w:space="0"/>
            </w:tcBorders>
            <w:shd w:val="clear" w:color="auto" w:fill="FFFFFF"/>
            <w:vAlign w:val="center"/>
          </w:tcPr>
          <w:p w14:paraId="6C4B17C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5BD26A3B">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13F82E57">
            <w:pPr>
              <w:jc w:val="center"/>
              <w:rPr>
                <w:rFonts w:ascii="宋体" w:hAnsi="宋体" w:eastAsia="宋体" w:cs="宋体"/>
                <w:color w:val="000000"/>
                <w:kern w:val="0"/>
                <w:sz w:val="20"/>
                <w:szCs w:val="20"/>
                <w:lang w:bidi="ar"/>
              </w:rPr>
            </w:pPr>
          </w:p>
        </w:tc>
      </w:tr>
      <w:tr w14:paraId="69214EB2">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06CE5F3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c>
          <w:tcPr>
            <w:tcW w:w="3496" w:type="dxa"/>
            <w:tcBorders>
              <w:top w:val="single" w:color="auto" w:sz="8" w:space="0"/>
              <w:left w:val="single" w:color="auto" w:sz="8" w:space="0"/>
              <w:bottom w:val="single" w:color="auto" w:sz="8" w:space="0"/>
              <w:right w:val="single" w:color="auto" w:sz="4" w:space="0"/>
            </w:tcBorders>
            <w:shd w:val="clear" w:color="auto" w:fill="FFFFFF"/>
            <w:vAlign w:val="center"/>
          </w:tcPr>
          <w:p w14:paraId="0EF1C3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人工智能与机器学习</w:t>
            </w:r>
          </w:p>
        </w:tc>
        <w:tc>
          <w:tcPr>
            <w:tcW w:w="1235" w:type="dxa"/>
            <w:tcBorders>
              <w:top w:val="single" w:color="auto" w:sz="4" w:space="0"/>
              <w:left w:val="single" w:color="auto" w:sz="4" w:space="0"/>
              <w:bottom w:val="single" w:color="auto" w:sz="4" w:space="0"/>
              <w:right w:val="single" w:color="auto" w:sz="4" w:space="0"/>
            </w:tcBorders>
            <w:shd w:val="clear" w:color="auto" w:fill="FFFFFF"/>
            <w:vAlign w:val="center"/>
          </w:tcPr>
          <w:p w14:paraId="7432FF4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7D8CF204">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4FA16CC6">
            <w:pPr>
              <w:jc w:val="center"/>
              <w:rPr>
                <w:rFonts w:ascii="宋体" w:hAnsi="宋体" w:eastAsia="宋体" w:cs="宋体"/>
                <w:color w:val="000000"/>
                <w:kern w:val="0"/>
                <w:sz w:val="20"/>
                <w:szCs w:val="20"/>
                <w:lang w:bidi="ar"/>
              </w:rPr>
            </w:pPr>
          </w:p>
        </w:tc>
      </w:tr>
      <w:tr w14:paraId="16966A1F">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0C355888">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c>
          <w:tcPr>
            <w:tcW w:w="3496" w:type="dxa"/>
            <w:tcBorders>
              <w:top w:val="single" w:color="auto" w:sz="8" w:space="0"/>
              <w:left w:val="single" w:color="auto" w:sz="8" w:space="0"/>
              <w:bottom w:val="single" w:color="auto" w:sz="8" w:space="0"/>
              <w:right w:val="single" w:color="auto" w:sz="4" w:space="0"/>
            </w:tcBorders>
            <w:shd w:val="clear" w:color="auto" w:fill="FFFFFF"/>
            <w:vAlign w:val="center"/>
          </w:tcPr>
          <w:p w14:paraId="50D188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基于人工智能的中国绘画传承与创新</w:t>
            </w:r>
          </w:p>
        </w:tc>
        <w:tc>
          <w:tcPr>
            <w:tcW w:w="1235" w:type="dxa"/>
            <w:tcBorders>
              <w:top w:val="single" w:color="auto" w:sz="4" w:space="0"/>
              <w:left w:val="single" w:color="auto" w:sz="4" w:space="0"/>
              <w:bottom w:val="single" w:color="auto" w:sz="4" w:space="0"/>
              <w:right w:val="single" w:color="auto" w:sz="4" w:space="0"/>
            </w:tcBorders>
            <w:shd w:val="clear" w:color="auto" w:fill="FFFFFF"/>
            <w:vAlign w:val="center"/>
          </w:tcPr>
          <w:p w14:paraId="25DF8CC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77AB4D79">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15CBA2A3">
            <w:pPr>
              <w:jc w:val="center"/>
              <w:rPr>
                <w:rFonts w:ascii="宋体" w:hAnsi="宋体" w:eastAsia="宋体" w:cs="宋体"/>
                <w:color w:val="000000"/>
                <w:kern w:val="0"/>
                <w:sz w:val="20"/>
                <w:szCs w:val="20"/>
                <w:lang w:bidi="ar"/>
              </w:rPr>
            </w:pPr>
          </w:p>
        </w:tc>
      </w:tr>
      <w:tr w14:paraId="1E9288BB">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20F2241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类（艺术、体育）</w:t>
            </w:r>
          </w:p>
        </w:tc>
        <w:tc>
          <w:tcPr>
            <w:tcW w:w="3496" w:type="dxa"/>
            <w:tcBorders>
              <w:top w:val="single" w:color="auto" w:sz="8" w:space="0"/>
              <w:left w:val="single" w:color="auto" w:sz="8" w:space="0"/>
              <w:bottom w:val="single" w:color="auto" w:sz="8" w:space="0"/>
              <w:right w:val="single" w:color="auto" w:sz="4" w:space="0"/>
            </w:tcBorders>
            <w:shd w:val="clear"/>
            <w:vAlign w:val="center"/>
          </w:tcPr>
          <w:p w14:paraId="5A4082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敦煌的艺术</w:t>
            </w:r>
          </w:p>
        </w:tc>
        <w:tc>
          <w:tcPr>
            <w:tcW w:w="1235" w:type="dxa"/>
            <w:tcBorders>
              <w:top w:val="single" w:color="auto" w:sz="4" w:space="0"/>
              <w:left w:val="single" w:color="auto" w:sz="4" w:space="0"/>
              <w:bottom w:val="single" w:color="auto" w:sz="4" w:space="0"/>
              <w:right w:val="single" w:color="auto" w:sz="4" w:space="0"/>
            </w:tcBorders>
            <w:shd w:val="clear"/>
            <w:vAlign w:val="center"/>
          </w:tcPr>
          <w:p w14:paraId="5FC68E6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26A963CD">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6EE589D7">
            <w:pPr>
              <w:jc w:val="center"/>
              <w:rPr>
                <w:rFonts w:ascii="宋体" w:hAnsi="宋体" w:eastAsia="宋体" w:cs="宋体"/>
                <w:color w:val="000000"/>
                <w:kern w:val="0"/>
                <w:sz w:val="20"/>
                <w:szCs w:val="20"/>
                <w:lang w:bidi="ar"/>
              </w:rPr>
            </w:pPr>
          </w:p>
        </w:tc>
      </w:tr>
      <w:tr w14:paraId="20C7499D">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70A9E92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类（艺术、体育）</w:t>
            </w:r>
          </w:p>
        </w:tc>
        <w:tc>
          <w:tcPr>
            <w:tcW w:w="3496" w:type="dxa"/>
            <w:tcBorders>
              <w:top w:val="single" w:color="auto" w:sz="8" w:space="0"/>
              <w:left w:val="single" w:color="auto" w:sz="8" w:space="0"/>
              <w:bottom w:val="single" w:color="auto" w:sz="8" w:space="0"/>
              <w:right w:val="single" w:color="auto" w:sz="4" w:space="0"/>
            </w:tcBorders>
            <w:shd w:val="clear"/>
            <w:vAlign w:val="center"/>
          </w:tcPr>
          <w:p w14:paraId="073DE3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世界著名博物馆艺术经典</w:t>
            </w:r>
          </w:p>
        </w:tc>
        <w:tc>
          <w:tcPr>
            <w:tcW w:w="1235" w:type="dxa"/>
            <w:tcBorders>
              <w:top w:val="single" w:color="auto" w:sz="4" w:space="0"/>
              <w:left w:val="single" w:color="auto" w:sz="4" w:space="0"/>
              <w:bottom w:val="single" w:color="auto" w:sz="4" w:space="0"/>
              <w:right w:val="single" w:color="auto" w:sz="4" w:space="0"/>
            </w:tcBorders>
            <w:shd w:val="clear"/>
            <w:vAlign w:val="center"/>
          </w:tcPr>
          <w:p w14:paraId="731056D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4A8BEDF7">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7E24951C">
            <w:pPr>
              <w:jc w:val="center"/>
              <w:rPr>
                <w:rFonts w:ascii="宋体" w:hAnsi="宋体" w:eastAsia="宋体" w:cs="宋体"/>
                <w:color w:val="000000"/>
                <w:kern w:val="0"/>
                <w:sz w:val="20"/>
                <w:szCs w:val="20"/>
                <w:lang w:bidi="ar"/>
              </w:rPr>
            </w:pPr>
          </w:p>
        </w:tc>
      </w:tr>
      <w:tr w14:paraId="40168DBF">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32E5A23D">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类（艺术、体育）</w:t>
            </w:r>
          </w:p>
        </w:tc>
        <w:tc>
          <w:tcPr>
            <w:tcW w:w="3496" w:type="dxa"/>
            <w:tcBorders>
              <w:top w:val="single" w:color="auto" w:sz="8" w:space="0"/>
              <w:left w:val="single" w:color="auto" w:sz="8" w:space="0"/>
              <w:bottom w:val="single" w:color="auto" w:sz="8" w:space="0"/>
              <w:right w:val="single" w:color="auto" w:sz="4" w:space="0"/>
            </w:tcBorders>
            <w:shd w:val="clear"/>
            <w:vAlign w:val="center"/>
          </w:tcPr>
          <w:p w14:paraId="1909E5EB">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非遗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之首</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昆曲经典艺术欣赏</w:t>
            </w:r>
          </w:p>
        </w:tc>
        <w:tc>
          <w:tcPr>
            <w:tcW w:w="1235" w:type="dxa"/>
            <w:tcBorders>
              <w:top w:val="single" w:color="auto" w:sz="4" w:space="0"/>
              <w:left w:val="single" w:color="auto" w:sz="4" w:space="0"/>
              <w:bottom w:val="single" w:color="auto" w:sz="4" w:space="0"/>
              <w:right w:val="single" w:color="auto" w:sz="4" w:space="0"/>
            </w:tcBorders>
            <w:shd w:val="clear"/>
            <w:vAlign w:val="center"/>
          </w:tcPr>
          <w:p w14:paraId="002DEF2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5AC0C4BC">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07305403">
            <w:pPr>
              <w:jc w:val="center"/>
              <w:rPr>
                <w:rFonts w:ascii="宋体" w:hAnsi="宋体" w:eastAsia="宋体" w:cs="宋体"/>
                <w:color w:val="000000"/>
                <w:kern w:val="0"/>
                <w:sz w:val="20"/>
                <w:szCs w:val="20"/>
                <w:lang w:bidi="ar"/>
              </w:rPr>
            </w:pPr>
          </w:p>
        </w:tc>
      </w:tr>
      <w:tr w14:paraId="03975498">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638DCAB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496" w:type="dxa"/>
            <w:tcBorders>
              <w:top w:val="single" w:color="auto" w:sz="8" w:space="0"/>
              <w:left w:val="single" w:color="auto" w:sz="8" w:space="0"/>
              <w:bottom w:val="single" w:color="auto" w:sz="8" w:space="0"/>
              <w:right w:val="single" w:color="auto" w:sz="4" w:space="0"/>
            </w:tcBorders>
            <w:shd w:val="clear"/>
            <w:vAlign w:val="center"/>
          </w:tcPr>
          <w:p w14:paraId="231CF80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创践</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大学生创新创业实务</w:t>
            </w:r>
          </w:p>
        </w:tc>
        <w:tc>
          <w:tcPr>
            <w:tcW w:w="1235" w:type="dxa"/>
            <w:tcBorders>
              <w:top w:val="single" w:color="auto" w:sz="4" w:space="0"/>
              <w:left w:val="single" w:color="auto" w:sz="4" w:space="0"/>
              <w:bottom w:val="single" w:color="auto" w:sz="4" w:space="0"/>
              <w:right w:val="single" w:color="auto" w:sz="4" w:space="0"/>
            </w:tcBorders>
            <w:shd w:val="clear"/>
            <w:vAlign w:val="center"/>
          </w:tcPr>
          <w:p w14:paraId="7B6E48F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7E00E3A5">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77D68274">
            <w:pPr>
              <w:jc w:val="center"/>
              <w:rPr>
                <w:rFonts w:ascii="宋体" w:hAnsi="宋体" w:eastAsia="宋体" w:cs="宋体"/>
                <w:color w:val="000000"/>
                <w:kern w:val="0"/>
                <w:sz w:val="20"/>
                <w:szCs w:val="20"/>
                <w:lang w:bidi="ar"/>
              </w:rPr>
            </w:pPr>
          </w:p>
        </w:tc>
      </w:tr>
      <w:tr w14:paraId="32DBC21B">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32D67407">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496" w:type="dxa"/>
            <w:tcBorders>
              <w:top w:val="single" w:color="auto" w:sz="8" w:space="0"/>
              <w:left w:val="single" w:color="auto" w:sz="8" w:space="0"/>
              <w:bottom w:val="single" w:color="auto" w:sz="8" w:space="0"/>
              <w:right w:val="single" w:color="auto" w:sz="4" w:space="0"/>
            </w:tcBorders>
            <w:shd w:val="clear"/>
            <w:vAlign w:val="center"/>
          </w:tcPr>
          <w:p w14:paraId="0780623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公共关系与人际交往能力</w:t>
            </w:r>
          </w:p>
        </w:tc>
        <w:tc>
          <w:tcPr>
            <w:tcW w:w="1235" w:type="dxa"/>
            <w:tcBorders>
              <w:top w:val="single" w:color="auto" w:sz="4" w:space="0"/>
              <w:left w:val="single" w:color="auto" w:sz="4" w:space="0"/>
              <w:bottom w:val="single" w:color="auto" w:sz="4" w:space="0"/>
              <w:right w:val="single" w:color="auto" w:sz="4" w:space="0"/>
            </w:tcBorders>
            <w:shd w:val="clear"/>
            <w:vAlign w:val="center"/>
          </w:tcPr>
          <w:p w14:paraId="3335D2A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75891521">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514D7004">
            <w:pPr>
              <w:jc w:val="center"/>
              <w:rPr>
                <w:rFonts w:ascii="宋体" w:hAnsi="宋体" w:eastAsia="宋体" w:cs="宋体"/>
                <w:color w:val="000000"/>
                <w:kern w:val="0"/>
                <w:sz w:val="20"/>
                <w:szCs w:val="20"/>
                <w:lang w:bidi="ar"/>
              </w:rPr>
            </w:pPr>
          </w:p>
        </w:tc>
      </w:tr>
      <w:tr w14:paraId="246EE4E3">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10B2BA28">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496" w:type="dxa"/>
            <w:tcBorders>
              <w:top w:val="single" w:color="auto" w:sz="8" w:space="0"/>
              <w:left w:val="single" w:color="auto" w:sz="8" w:space="0"/>
              <w:bottom w:val="single" w:color="auto" w:sz="8" w:space="0"/>
              <w:right w:val="single" w:color="auto" w:sz="4" w:space="0"/>
            </w:tcBorders>
            <w:shd w:val="clear"/>
            <w:vAlign w:val="center"/>
          </w:tcPr>
          <w:p w14:paraId="6EA3C5D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如何赢得大学生创新创业大赛</w:t>
            </w:r>
          </w:p>
        </w:tc>
        <w:tc>
          <w:tcPr>
            <w:tcW w:w="1235" w:type="dxa"/>
            <w:tcBorders>
              <w:top w:val="single" w:color="auto" w:sz="4" w:space="0"/>
              <w:left w:val="single" w:color="auto" w:sz="4" w:space="0"/>
              <w:bottom w:val="single" w:color="auto" w:sz="4" w:space="0"/>
              <w:right w:val="single" w:color="auto" w:sz="4" w:space="0"/>
            </w:tcBorders>
            <w:shd w:val="clear"/>
            <w:vAlign w:val="center"/>
          </w:tcPr>
          <w:p w14:paraId="13B5CF7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7D6F9782">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6D7466E7">
            <w:pPr>
              <w:jc w:val="center"/>
              <w:rPr>
                <w:rFonts w:ascii="宋体" w:hAnsi="宋体" w:eastAsia="宋体" w:cs="宋体"/>
                <w:color w:val="000000"/>
                <w:kern w:val="0"/>
                <w:sz w:val="20"/>
                <w:szCs w:val="20"/>
                <w:lang w:bidi="ar"/>
              </w:rPr>
            </w:pPr>
          </w:p>
        </w:tc>
      </w:tr>
      <w:tr w14:paraId="1AE6C5E4">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6E703C0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496" w:type="dxa"/>
            <w:tcBorders>
              <w:top w:val="single" w:color="auto" w:sz="8" w:space="0"/>
              <w:left w:val="single" w:color="auto" w:sz="8" w:space="0"/>
              <w:bottom w:val="single" w:color="auto" w:sz="8" w:space="0"/>
              <w:right w:val="single" w:color="auto" w:sz="4" w:space="0"/>
            </w:tcBorders>
            <w:shd w:val="clear"/>
            <w:vAlign w:val="center"/>
          </w:tcPr>
          <w:p w14:paraId="1095C55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大学生劳动就业法律问题解读</w:t>
            </w:r>
          </w:p>
        </w:tc>
        <w:tc>
          <w:tcPr>
            <w:tcW w:w="1235" w:type="dxa"/>
            <w:tcBorders>
              <w:top w:val="single" w:color="auto" w:sz="4" w:space="0"/>
              <w:left w:val="single" w:color="auto" w:sz="4" w:space="0"/>
              <w:bottom w:val="single" w:color="auto" w:sz="4" w:space="0"/>
              <w:right w:val="single" w:color="auto" w:sz="4" w:space="0"/>
            </w:tcBorders>
            <w:shd w:val="clear"/>
            <w:vAlign w:val="center"/>
          </w:tcPr>
          <w:p w14:paraId="6E78941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right w:val="single" w:color="000000" w:sz="8" w:space="0"/>
            </w:tcBorders>
            <w:shd w:val="clear" w:color="auto" w:fill="auto"/>
            <w:vAlign w:val="center"/>
          </w:tcPr>
          <w:p w14:paraId="1C25CDCC">
            <w:pPr>
              <w:jc w:val="center"/>
              <w:rPr>
                <w:rFonts w:ascii="宋体" w:hAnsi="宋体" w:eastAsia="宋体" w:cs="宋体"/>
                <w:color w:val="000000"/>
                <w:kern w:val="0"/>
                <w:sz w:val="20"/>
                <w:szCs w:val="20"/>
                <w:lang w:bidi="ar"/>
              </w:rPr>
            </w:pPr>
          </w:p>
        </w:tc>
        <w:tc>
          <w:tcPr>
            <w:tcW w:w="1303" w:type="dxa"/>
            <w:vMerge w:val="continue"/>
            <w:tcBorders>
              <w:left w:val="single" w:color="000000" w:sz="8" w:space="0"/>
              <w:right w:val="single" w:color="000000" w:sz="8" w:space="0"/>
            </w:tcBorders>
            <w:shd w:val="clear" w:color="auto" w:fill="auto"/>
            <w:vAlign w:val="center"/>
          </w:tcPr>
          <w:p w14:paraId="08021957">
            <w:pPr>
              <w:jc w:val="center"/>
              <w:rPr>
                <w:rFonts w:ascii="宋体" w:hAnsi="宋体" w:eastAsia="宋体" w:cs="宋体"/>
                <w:color w:val="000000"/>
                <w:kern w:val="0"/>
                <w:sz w:val="20"/>
                <w:szCs w:val="20"/>
                <w:lang w:bidi="ar"/>
              </w:rPr>
            </w:pPr>
          </w:p>
        </w:tc>
      </w:tr>
      <w:tr w14:paraId="0DF342FD">
        <w:tblPrEx>
          <w:tblCellMar>
            <w:top w:w="0" w:type="dxa"/>
            <w:left w:w="108" w:type="dxa"/>
            <w:bottom w:w="0" w:type="dxa"/>
            <w:right w:w="108" w:type="dxa"/>
          </w:tblCellMar>
        </w:tblPrEx>
        <w:trPr>
          <w:trHeight w:val="680" w:hRule="exact"/>
        </w:trPr>
        <w:tc>
          <w:tcPr>
            <w:tcW w:w="3381" w:type="dxa"/>
            <w:tcBorders>
              <w:top w:val="single" w:color="auto" w:sz="8" w:space="0"/>
              <w:left w:val="single" w:color="auto" w:sz="8" w:space="0"/>
              <w:bottom w:val="single" w:color="auto" w:sz="8" w:space="0"/>
              <w:right w:val="single" w:color="auto" w:sz="8" w:space="0"/>
            </w:tcBorders>
            <w:shd w:val="clear"/>
            <w:vAlign w:val="center"/>
          </w:tcPr>
          <w:p w14:paraId="6ACB657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496" w:type="dxa"/>
            <w:tcBorders>
              <w:top w:val="single" w:color="auto" w:sz="8" w:space="0"/>
              <w:left w:val="single" w:color="auto" w:sz="8" w:space="0"/>
              <w:bottom w:val="single" w:color="auto" w:sz="8" w:space="0"/>
              <w:right w:val="single" w:color="auto" w:sz="4" w:space="0"/>
            </w:tcBorders>
            <w:shd w:val="clear"/>
            <w:vAlign w:val="center"/>
          </w:tcPr>
          <w:p w14:paraId="06414DF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创业管理（上海财经大学）</w:t>
            </w:r>
          </w:p>
        </w:tc>
        <w:tc>
          <w:tcPr>
            <w:tcW w:w="1235" w:type="dxa"/>
            <w:tcBorders>
              <w:top w:val="single" w:color="auto" w:sz="4" w:space="0"/>
              <w:left w:val="single" w:color="auto" w:sz="4" w:space="0"/>
              <w:bottom w:val="single" w:color="auto" w:sz="4" w:space="0"/>
              <w:right w:val="single" w:color="auto" w:sz="4" w:space="0"/>
            </w:tcBorders>
            <w:shd w:val="clear"/>
            <w:vAlign w:val="center"/>
          </w:tcPr>
          <w:p w14:paraId="0BB4964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w:t>
            </w:r>
          </w:p>
        </w:tc>
        <w:tc>
          <w:tcPr>
            <w:tcW w:w="1258" w:type="dxa"/>
            <w:vMerge w:val="continue"/>
            <w:tcBorders>
              <w:left w:val="single" w:color="auto" w:sz="4" w:space="0"/>
              <w:bottom w:val="single" w:color="000000" w:sz="8" w:space="0"/>
              <w:right w:val="single" w:color="000000" w:sz="8" w:space="0"/>
            </w:tcBorders>
            <w:shd w:val="clear" w:color="auto" w:fill="auto"/>
            <w:vAlign w:val="center"/>
          </w:tcPr>
          <w:p w14:paraId="710DF230">
            <w:pPr>
              <w:jc w:val="center"/>
              <w:rPr>
                <w:rFonts w:ascii="宋体" w:hAnsi="宋体" w:eastAsia="宋体" w:cs="宋体"/>
                <w:color w:val="000000"/>
                <w:kern w:val="0"/>
                <w:sz w:val="20"/>
                <w:szCs w:val="20"/>
                <w:lang w:bidi="ar"/>
              </w:rPr>
            </w:pPr>
          </w:p>
        </w:tc>
        <w:tc>
          <w:tcPr>
            <w:tcW w:w="1303" w:type="dxa"/>
            <w:vMerge w:val="continue"/>
            <w:tcBorders>
              <w:left w:val="single" w:color="000000" w:sz="8" w:space="0"/>
              <w:bottom w:val="single" w:color="000000" w:sz="8" w:space="0"/>
              <w:right w:val="single" w:color="000000" w:sz="8" w:space="0"/>
            </w:tcBorders>
            <w:shd w:val="clear" w:color="auto" w:fill="auto"/>
            <w:vAlign w:val="center"/>
          </w:tcPr>
          <w:p w14:paraId="52198A96">
            <w:pPr>
              <w:jc w:val="center"/>
              <w:rPr>
                <w:rFonts w:ascii="宋体" w:hAnsi="宋体" w:eastAsia="宋体" w:cs="宋体"/>
                <w:color w:val="000000"/>
                <w:kern w:val="0"/>
                <w:sz w:val="20"/>
                <w:szCs w:val="20"/>
                <w:lang w:bidi="ar"/>
              </w:rPr>
            </w:pPr>
          </w:p>
        </w:tc>
      </w:tr>
    </w:tbl>
    <w:p w14:paraId="3E91811B">
      <w:pPr>
        <w:keepNext w:val="0"/>
        <w:keepLines w:val="0"/>
        <w:pageBreakBefore w:val="0"/>
        <w:numPr>
          <w:ilvl w:val="0"/>
          <w:numId w:val="0"/>
        </w:numPr>
        <w:kinsoku/>
        <w:wordWrap/>
        <w:overflowPunct/>
        <w:topLinePunct w:val="0"/>
        <w:autoSpaceDE/>
        <w:autoSpaceDN/>
        <w:bidi w:val="0"/>
        <w:adjustRightInd/>
        <w:snapToGrid/>
        <w:ind w:firstLine="482" w:firstLineChars="200"/>
        <w:jc w:val="both"/>
        <w:textAlignment w:val="auto"/>
        <w:rPr>
          <w:rFonts w:hint="default" w:ascii="Times New Roman" w:hAnsi="Times New Roman" w:eastAsia="宋体" w:cs="Times New Roman"/>
          <w:b/>
          <w:bCs/>
          <w:sz w:val="24"/>
          <w:szCs w:val="24"/>
          <w:lang w:val="en-US" w:eastAsia="zh-CN"/>
        </w:rPr>
      </w:pPr>
    </w:p>
    <w:p w14:paraId="561CF8B8">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val="en-US" w:eastAsia="zh-CN"/>
        </w:rPr>
        <w:t>伟大的《红楼梦》</w:t>
      </w:r>
    </w:p>
    <w:p w14:paraId="226B7835">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一块历经悲欢离合、兴衰际遇的石头；一座无所不包、真假莫辨的园林；一次释梦解味的精神旅行。</w:t>
      </w:r>
    </w:p>
    <w:p w14:paraId="518F0CAF">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《红楼梦》是中国古典小说的顶峰，具有极高的审美价值。《红楼梦》是中国传统文化的百科全书，具有极丰富的文化内涵。《红楼梦》以艺术化的方式，深刻地反映了中国人的生活世界、情感世界。</w:t>
      </w:r>
    </w:p>
    <w:p w14:paraId="6773A5AC">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eastAsia" w:ascii="Times New Roman" w:hAnsi="Times New Roman" w:eastAsia="宋体" w:cs="Times New Roman"/>
          <w:b/>
          <w:bCs/>
          <w:sz w:val="24"/>
          <w:szCs w:val="24"/>
          <w:lang w:val="en-US" w:eastAsia="zh-CN"/>
        </w:rPr>
      </w:pPr>
    </w:p>
    <w:p w14:paraId="56B49403">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中国古典诗词中的品格与修养</w:t>
      </w:r>
    </w:p>
    <w:p w14:paraId="6EE61F42">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希望你看到桃花时不是只会说：哎呀，这桃花开得真漂亮啊。而是能说出“桃之夭夭，灼灼其华”，希望你腹有诗书气自华，希望“生活不只是眼前的苟且，还有诗和远方”，希望大家跟随叶嘉莹先生的学生张静老师一起去体味我们中国古典诗词中，那种生生不已的感发之力。赏中华诗词、寻文化基因、品生活之美</w:t>
      </w:r>
    </w:p>
    <w:p w14:paraId="3A319EF6">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中国古典诗词作为中国优秀传统文化的精髓，是中华民族代代相传的文化瑰宝。</w:t>
      </w:r>
    </w:p>
    <w:p w14:paraId="69123197">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eastAsia" w:ascii="Times New Roman" w:hAnsi="Times New Roman" w:eastAsia="宋体" w:cs="Times New Roman"/>
          <w:b/>
          <w:bCs/>
          <w:sz w:val="24"/>
          <w:szCs w:val="24"/>
          <w:lang w:val="en-US" w:eastAsia="zh-CN"/>
        </w:rPr>
      </w:pPr>
    </w:p>
    <w:p w14:paraId="24ABB28A">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val="en-US" w:eastAsia="zh-CN"/>
        </w:rPr>
        <w:t>死亡文化与生死教育</w:t>
      </w:r>
    </w:p>
    <w:p w14:paraId="214604AA">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未知死，焉知生？害怕死亡，不去谈论死亡，并不能避免我们的死亡。而对死亡问题的逃避却会造成我们对死亡的无知和对人生缺乏规划，当死亡到来时，我们就会不知所措。学习死亡，懂得死亡，就是学习生活，懂得生活，就是学习如何创造有价值、有意义的幸福圆满人生。死亡教育，名为谈死，实为论生！</w:t>
      </w:r>
    </w:p>
    <w:p w14:paraId="3E32C61C">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中国人讳言死亡，但是却并不能避免死亡以及死亡带来的哀伤与打击。通过对死亡文化的介绍和生死教育，可以培养学生正确的价值观念，帮助学生树立健康的人生观和死亡观，使学生学会正确对待和处理人生中的挫折和偶发事件。同时，死亡教育还会为学生提供面对亲人甚至本人的死亡时之重要的心理支持。死亡对于每个人都是不可避免的事情。但是多数人在死亡面前表现出恐惧、战栗、心绪不宁甚至精神和行为失控状态。这种心态是由于人们对死亡缺乏心理准备和心理支持而造成的。此外，对死亡的非理性态度还表现在许多人对待生命的草率态度——自杀。自杀是15至34岁人群的重要死因之一。所以对于大学生而言，树立科学的人生观和死亡观是至关重要的。16世纪法国作家蒙田告诉人们：谁教会人死亡，就是教会人生活。但是在中国，文化传统的原因使人们总是倾向于回避死亡话题。这显然不是明智的态度。死亡教育可以帮助人们正确地面对自我之死和他人之死，理解生与死是人类自然生命历程的必然组成部分，从而树立科学、合理、健康的死亡观；可以消除人们对死亡的恐惧、焦虑等心理现象，教育人们坦然面对死亡；使人们思索各种死亡问题，学习和探讨死亡的心理过程以及死亡对人们的心理影响，为处理自我之死、亲人之死做好心理上的准备；可以勇敢地正视生老病死的问题，加深人们对死亡的深刻认识，并将这种认识转化为珍惜生命、珍爱健康的强大动力，进而提高自己的生命和生活质量；使更多的人认识到人生包括优生、优活、优死三大阶段，以便使人们能客观地面对死亡，有意识地提高生命质量。本课程的开设，还可以以人生有死的必然性唤起大学生人生的紧迫感，从而对自己的人生作出科学规划，树立人生目标，对人生采取积极态度，活出有价值、有意义的圆满人生！ 简单说来，之所以要进行死亡教育，是因为： 1、缺乏对死亡的关照使得人们难以树立起恰当的生活目标； 2、重生轻死的中华文化传统也使大学生在社会生活中缺乏接受死亡教育的机会； 3、大学生中存在不尊重生命的现象。对大学生进行死亡教育十分迫切。</w:t>
      </w:r>
    </w:p>
    <w:p w14:paraId="2D857E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right="0"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lang w:val="en-US" w:eastAsia="zh-CN"/>
        </w:rPr>
      </w:pPr>
    </w:p>
    <w:p w14:paraId="00A827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right="0"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rPr>
      </w:pPr>
      <w:r>
        <w:rPr>
          <w:rFonts w:hint="eastAsia" w:ascii="Times New Roman" w:hAnsi="Times New Roman" w:cs="Times New Roman"/>
          <w:b/>
          <w:bCs/>
          <w:i w:val="0"/>
          <w:iCs w:val="0"/>
          <w:caps w:val="0"/>
          <w:color w:val="auto"/>
          <w:spacing w:val="0"/>
          <w:sz w:val="24"/>
          <w:szCs w:val="24"/>
          <w:shd w:val="clear" w:fill="FFFFFF"/>
          <w:lang w:val="en-US" w:eastAsia="zh-CN"/>
        </w:rPr>
        <w:t>4</w:t>
      </w:r>
      <w:r>
        <w:rPr>
          <w:rFonts w:hint="default" w:ascii="Times New Roman" w:hAnsi="Times New Roman" w:eastAsia="宋体" w:cs="Times New Roman"/>
          <w:b/>
          <w:bCs/>
          <w:i w:val="0"/>
          <w:iCs w:val="0"/>
          <w:caps w:val="0"/>
          <w:color w:val="auto"/>
          <w:spacing w:val="0"/>
          <w:sz w:val="24"/>
          <w:szCs w:val="24"/>
          <w:shd w:val="clear" w:fill="FFFFFF"/>
          <w:lang w:val="en-US" w:eastAsia="zh-CN"/>
        </w:rPr>
        <w:t>.</w:t>
      </w:r>
      <w:r>
        <w:rPr>
          <w:rFonts w:hint="default" w:ascii="Times New Roman" w:hAnsi="Times New Roman" w:eastAsia="宋体" w:cs="Times New Roman"/>
          <w:b/>
          <w:bCs/>
          <w:i w:val="0"/>
          <w:iCs w:val="0"/>
          <w:caps w:val="0"/>
          <w:color w:val="auto"/>
          <w:spacing w:val="0"/>
          <w:sz w:val="24"/>
          <w:szCs w:val="24"/>
          <w:shd w:val="clear" w:fill="FFFFFF"/>
        </w:rPr>
        <w:t>人工智能与科学之美</w:t>
      </w:r>
    </w:p>
    <w:p w14:paraId="52B9C4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2" w:firstLineChars="200"/>
        <w:jc w:val="both"/>
        <w:textAlignment w:val="auto"/>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b/>
          <w:bCs/>
          <w:i w:val="0"/>
          <w:iCs w:val="0"/>
          <w:caps w:val="0"/>
          <w:color w:val="auto"/>
          <w:spacing w:val="0"/>
          <w:sz w:val="24"/>
          <w:szCs w:val="24"/>
          <w:shd w:val="clear" w:fill="FFFFFF"/>
        </w:rPr>
        <w:t>课程介绍</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随着科技的不断发展，科幻小说和电影中的生活方式、场景和工具正在人工智能的搭载下，从各个角度渗透进我们的日常生活，并带动着科技进步和产业升级。本课程通过讲述人工智能的发展历程、主要技术、应用领域，使学生具备把握人工智能发展趋势、基本原理与应用开发的能力，并能从人工智能的发展与应用中感受科学之美。</w:t>
      </w:r>
    </w:p>
    <w:p w14:paraId="7A0C9B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lang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p>
    <w:p w14:paraId="042FE9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40" w:lineRule="exact"/>
        <w:ind w:right="0" w:firstLine="480" w:firstLineChars="200"/>
        <w:jc w:val="both"/>
        <w:textAlignment w:val="auto"/>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i w:val="0"/>
          <w:iCs w:val="0"/>
          <w:caps w:val="0"/>
          <w:color w:val="auto"/>
          <w:spacing w:val="0"/>
          <w:sz w:val="24"/>
          <w:szCs w:val="24"/>
          <w:shd w:val="clear" w:fill="FFFFFF"/>
        </w:rPr>
        <w:t>1.继国务院印发《新一代人工智能发展规划》后，工信部印发《促进新一代人工智能产业发展三年行动计划（2018~2020年）》，未来三年将率先在智能网联汽车、智能服务机器人、智能无人机、医疗影像辅助诊断系统、视频图像身份识别系统、智能语音交互系统、智能翻译系统、智能家居产品等八大领域取得突破。</w:t>
      </w:r>
    </w:p>
    <w:p w14:paraId="0C05A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40" w:lineRule="exact"/>
        <w:ind w:right="0" w:firstLine="480" w:firstLineChars="200"/>
        <w:jc w:val="both"/>
        <w:textAlignment w:val="auto"/>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i w:val="0"/>
          <w:iCs w:val="0"/>
          <w:caps w:val="0"/>
          <w:color w:val="auto"/>
          <w:spacing w:val="0"/>
          <w:sz w:val="24"/>
          <w:szCs w:val="24"/>
          <w:shd w:val="clear" w:fill="FFFFFF"/>
        </w:rPr>
        <w:t>2.人工智能已经从各个角度渗透进我们的日常生活，并带动着科技进步和产业升级。</w:t>
      </w:r>
    </w:p>
    <w:p w14:paraId="6F0491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40" w:lineRule="exact"/>
        <w:ind w:right="0" w:firstLine="480" w:firstLineChars="200"/>
        <w:jc w:val="both"/>
        <w:textAlignment w:val="auto"/>
        <w:rPr>
          <w:rFonts w:hint="default" w:ascii="宋体" w:hAnsi="宋体" w:eastAsia="宋体" w:cs="宋体"/>
          <w:b/>
          <w:bCs/>
          <w:sz w:val="24"/>
          <w:szCs w:val="24"/>
          <w:lang w:val="en-US" w:eastAsia="zh-CN"/>
        </w:rPr>
      </w:pPr>
      <w:r>
        <w:rPr>
          <w:rFonts w:hint="default" w:ascii="Times New Roman" w:hAnsi="Times New Roman" w:eastAsia="宋体" w:cs="Times New Roman"/>
          <w:i w:val="0"/>
          <w:iCs w:val="0"/>
          <w:caps w:val="0"/>
          <w:color w:val="auto"/>
          <w:spacing w:val="0"/>
          <w:sz w:val="24"/>
          <w:szCs w:val="24"/>
          <w:shd w:val="clear" w:fill="FFFFFF"/>
        </w:rPr>
        <w:t>3.作为人工智能时代的大学生，迫切需要了解和使用人工智能技术。</w:t>
      </w:r>
    </w:p>
    <w:p w14:paraId="2562057D">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p>
    <w:p w14:paraId="4D90D633">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val="en-US" w:eastAsia="zh-CN"/>
        </w:rPr>
        <w:t>人工智能通识</w:t>
      </w:r>
    </w:p>
    <w:p w14:paraId="03E7AA0C">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lang w:eastAsia="zh-CN"/>
        </w:rPr>
      </w:pPr>
      <w:r>
        <w:rPr>
          <w:rFonts w:hint="default" w:ascii="Times New Roman" w:hAnsi="Times New Roman" w:eastAsia="宋体" w:cs="Times New Roman"/>
          <w:b/>
          <w:bCs/>
          <w:i w:val="0"/>
          <w:iCs w:val="0"/>
          <w:caps w:val="0"/>
          <w:color w:val="auto"/>
          <w:spacing w:val="0"/>
          <w:sz w:val="24"/>
          <w:szCs w:val="24"/>
          <w:shd w:val="clear" w:fill="FFFFFF"/>
        </w:rPr>
        <w:t>课程介绍</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作为引领当代科技革命的核心驱动力，人工智能正在深刻重塑人类社会的发展图景，其影响力已从技术领域扩展至经济、文化、教育等各个维度。在此背景下，人工智能教育正经历从专业领域向通识教育的战略性转型。因此，《人工智能通识》课程应运而生，通过构建跨学科的知识框架，系统性地培养学生在人工智能时代必备的科学素养与创新思维。本课程采用模块化设计，兼顾理论深度与实践广度，既适合理工科学生夯实专业基础并拓展人工智能思维，也能够启发人文社科背景的同学关于智能科技与社会互动的思考，最终达成让学生对人工智能产生兴趣、形成概念、启发思考的目的。</w:t>
      </w:r>
    </w:p>
    <w:p w14:paraId="64DE55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lang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p>
    <w:p w14:paraId="097780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0"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lang w:eastAsia="zh-CN"/>
        </w:rPr>
      </w:pPr>
      <w:r>
        <w:rPr>
          <w:rFonts w:hint="default" w:ascii="Times New Roman" w:hAnsi="Times New Roman" w:eastAsia="宋体" w:cs="Times New Roman"/>
          <w:b w:val="0"/>
          <w:bCs w:val="0"/>
          <w:i w:val="0"/>
          <w:iCs w:val="0"/>
          <w:caps w:val="0"/>
          <w:color w:val="auto"/>
          <w:spacing w:val="0"/>
          <w:sz w:val="24"/>
          <w:szCs w:val="24"/>
          <w:shd w:val="clear" w:fill="FFFFFF"/>
          <w:lang w:eastAsia="zh-CN"/>
        </w:rPr>
        <w:t>当今世界，在移动互联网、大数据、超级计算、传感网、脑科学等新理论新技术驱动下，人工智能已经对经济发展、社会进步、全球治理等各方面产生重大而深远的影响。人工智能技术也必将更加深入的影响行业发展，那么在高等学校开设人工智能通识课尤为必要，且势在必行。2022年9月，中共中央办公厅、国务院办公厅印发了《关于新时代进一步加强科学技术普及工作的意见》（以下简称《意见》）。《意见》强调，高等学校应设立科技相关通识课程，满足不同专业、不同学习阶段学生需求，鼓励和支持学生开展创新实践活动和科普志愿服务。《人工智能通识》课程是一门引领学生进入人工智能领域的基础课程，能够让学生了解人工智能的概念和发展简史，掌握人工智能领域的基本知识和技术架构，培养学生的智能化思维模式，熟悉人工智能的主要研究内容和应用领域。</w:t>
      </w:r>
    </w:p>
    <w:p w14:paraId="22CC1E1A">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lang w:val="en-US" w:eastAsia="zh-CN"/>
        </w:rPr>
      </w:pPr>
    </w:p>
    <w:p w14:paraId="4924871E">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lang w:val="en-US" w:eastAsia="zh-CN"/>
        </w:rPr>
        <w:t>人工智能与机器学习</w:t>
      </w:r>
    </w:p>
    <w:p w14:paraId="30C24D8F">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sz w:val="24"/>
          <w:szCs w:val="24"/>
          <w:shd w:val="clear" w:fill="FFFFFF"/>
          <w:lang w:eastAsia="zh-CN"/>
        </w:rPr>
      </w:pPr>
      <w:r>
        <w:rPr>
          <w:rFonts w:hint="default" w:ascii="Times New Roman" w:hAnsi="Times New Roman" w:eastAsia="宋体" w:cs="Times New Roman"/>
          <w:b/>
          <w:bCs/>
          <w:i w:val="0"/>
          <w:iCs w:val="0"/>
          <w:caps w:val="0"/>
          <w:color w:val="auto"/>
          <w:spacing w:val="0"/>
          <w:sz w:val="24"/>
          <w:szCs w:val="24"/>
          <w:shd w:val="clear" w:fill="FFFFFF"/>
        </w:rPr>
        <w:t>课程介绍</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本课程以“基础夯实、应用导向、思维拓展”为核心理念，涵盖AI的基本原理、机器学习的关键算法，以及计算机视觉、自然语言处理等热门应用场景。通过理论讲解与实战演练相结合，您不仅能深入理解监督学习、无监督学习等经典方法，还能通过实践培养解决实际问题的能力。课程还融入行业最新动态与技术趋势，确保内容兼具前沿性与实用性。</w:t>
      </w:r>
    </w:p>
    <w:p w14:paraId="50F5AAC5">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Times New Roman" w:hAnsi="Times New Roman" w:eastAsia="宋体" w:cs="Times New Roman"/>
          <w:b w:val="0"/>
          <w:bCs w:val="0"/>
          <w:i w:val="0"/>
          <w:iCs w:val="0"/>
          <w:caps w:val="0"/>
          <w:color w:val="auto"/>
          <w:spacing w:val="0"/>
          <w:sz w:val="24"/>
          <w:szCs w:val="24"/>
          <w:shd w:val="clear" w:fill="FFFFFF"/>
          <w:lang w:eastAsia="zh-CN"/>
        </w:rPr>
      </w:pPr>
      <w:r>
        <w:rPr>
          <w:rFonts w:hint="default" w:ascii="Times New Roman" w:hAnsi="Times New Roman" w:eastAsia="宋体" w:cs="Times New Roman"/>
          <w:b w:val="0"/>
          <w:bCs w:val="0"/>
          <w:i w:val="0"/>
          <w:iCs w:val="0"/>
          <w:caps w:val="0"/>
          <w:color w:val="auto"/>
          <w:spacing w:val="0"/>
          <w:sz w:val="24"/>
          <w:szCs w:val="24"/>
          <w:shd w:val="clear" w:fill="FFFFFF"/>
          <w:lang w:eastAsia="zh-CN"/>
        </w:rPr>
        <w:t>课程设计遵循“理论与实践结合”的原则，在传授知识的同时，强调创新精神。课程目标旨在帮助学生掌握机器学习的基本概念、思想和研究方法，了解未来的发展趋势，为今后在该领域的深入研究打下基础。通过本课程的学习，使学生初步具备使用机器学习方法解决实际问题的能力，为今后进一步的学习和工作奠定基础。</w:t>
      </w:r>
    </w:p>
    <w:p w14:paraId="280FA349">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Times New Roman" w:hAnsi="Times New Roman" w:eastAsia="宋体" w:cs="Times New Roman"/>
          <w:b w:val="0"/>
          <w:bCs w:val="0"/>
          <w:i w:val="0"/>
          <w:iCs w:val="0"/>
          <w:caps w:val="0"/>
          <w:color w:val="auto"/>
          <w:spacing w:val="0"/>
          <w:sz w:val="24"/>
          <w:szCs w:val="24"/>
          <w:shd w:val="clear" w:fill="FFFFFF"/>
          <w:lang w:eastAsia="zh-CN"/>
        </w:rPr>
      </w:pPr>
      <w:r>
        <w:rPr>
          <w:rFonts w:hint="default" w:ascii="Times New Roman" w:hAnsi="Times New Roman" w:eastAsia="宋体" w:cs="Times New Roman"/>
          <w:b w:val="0"/>
          <w:bCs w:val="0"/>
          <w:i w:val="0"/>
          <w:iCs w:val="0"/>
          <w:caps w:val="0"/>
          <w:color w:val="auto"/>
          <w:spacing w:val="0"/>
          <w:sz w:val="24"/>
          <w:szCs w:val="24"/>
          <w:shd w:val="clear" w:fill="FFFFFF"/>
          <w:lang w:eastAsia="zh-CN"/>
        </w:rPr>
        <w:t>无论您是希望转行AI领域的初学者，还是寻求技能升级的从业者，这门课程都将为您提供清晰的学习路径和扎实的能力储备。加入我们，一起探索智能时代的无限可能！</w:t>
      </w:r>
    </w:p>
    <w:p w14:paraId="209744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lang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p>
    <w:p w14:paraId="64BBC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0" w:firstLineChars="200"/>
        <w:jc w:val="both"/>
        <w:textAlignment w:val="auto"/>
        <w:rPr>
          <w:rFonts w:hint="default" w:ascii="Times New Roman" w:hAnsi="Times New Roman" w:eastAsia="宋体" w:cs="Times New Roman"/>
          <w:b w:val="0"/>
          <w:bCs w:val="0"/>
          <w:i w:val="0"/>
          <w:iCs w:val="0"/>
          <w:caps w:val="0"/>
          <w:color w:val="auto"/>
          <w:spacing w:val="0"/>
          <w:sz w:val="24"/>
          <w:szCs w:val="24"/>
          <w:shd w:val="clear" w:fill="FFFFFF"/>
          <w:lang w:eastAsia="zh-CN"/>
        </w:rPr>
      </w:pPr>
      <w:r>
        <w:rPr>
          <w:rFonts w:hint="default" w:ascii="Times New Roman" w:hAnsi="Times New Roman" w:eastAsia="宋体" w:cs="Times New Roman"/>
          <w:b w:val="0"/>
          <w:bCs w:val="0"/>
          <w:i w:val="0"/>
          <w:iCs w:val="0"/>
          <w:caps w:val="0"/>
          <w:color w:val="auto"/>
          <w:spacing w:val="0"/>
          <w:sz w:val="24"/>
          <w:szCs w:val="24"/>
          <w:shd w:val="clear" w:fill="FFFFFF"/>
          <w:lang w:eastAsia="zh-CN"/>
        </w:rPr>
        <w:t>人工智能是以人工的方法用机器（计算机）模拟、延伸和扩展人类智能的学科，具有多学科交叉、高度复杂、强渗透性的学科特点。本课程围绕人工智能与机器学习的基础与应用，在介绍人工智能的基本概念和基本技术的基础上，着重讲授机器学习等关键技术的理论知识和应用方法，进而延伸至计算机视觉和自然语言处理等应用领域，并介绍相关的实验工具和平台。</w:t>
      </w:r>
    </w:p>
    <w:p w14:paraId="6B15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0" w:firstLineChars="200"/>
        <w:jc w:val="both"/>
        <w:textAlignment w:val="auto"/>
        <w:rPr>
          <w:rFonts w:hint="default" w:ascii="Times New Roman" w:hAnsi="Times New Roman" w:eastAsia="宋体" w:cs="Times New Roman"/>
          <w:b w:val="0"/>
          <w:bCs w:val="0"/>
          <w:i w:val="0"/>
          <w:iCs w:val="0"/>
          <w:caps w:val="0"/>
          <w:color w:val="auto"/>
          <w:spacing w:val="0"/>
          <w:sz w:val="24"/>
          <w:szCs w:val="24"/>
          <w:shd w:val="clear" w:fill="FFFFFF"/>
          <w:lang w:eastAsia="zh-CN"/>
        </w:rPr>
      </w:pPr>
      <w:r>
        <w:rPr>
          <w:rFonts w:hint="default" w:ascii="Times New Roman" w:hAnsi="Times New Roman" w:eastAsia="宋体" w:cs="Times New Roman"/>
          <w:b w:val="0"/>
          <w:bCs w:val="0"/>
          <w:i w:val="0"/>
          <w:iCs w:val="0"/>
          <w:caps w:val="0"/>
          <w:color w:val="auto"/>
          <w:spacing w:val="0"/>
          <w:sz w:val="24"/>
          <w:szCs w:val="24"/>
          <w:shd w:val="clear" w:fill="FFFFFF"/>
          <w:lang w:eastAsia="zh-CN"/>
        </w:rPr>
        <w:t>本课程的目的是帮助学生了解人工智能的发展和应用，掌握人工智能的基本原理和方法，特别是机器学习的相关知识，拓宽科学视野，提高利用人工智能技术解决实际问题的能力，为今后进一步学习人工智能相关课程奠定基础。</w:t>
      </w:r>
    </w:p>
    <w:p w14:paraId="222B9ED9">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p>
    <w:p w14:paraId="52DBDD31">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lang w:val="en-US" w:eastAsia="zh-CN"/>
        </w:rPr>
        <w:t>基于人工智能的中国绘画传承与创新</w:t>
      </w:r>
    </w:p>
    <w:p w14:paraId="05E2BBBC">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lang w:eastAsia="zh-CN"/>
        </w:rPr>
      </w:pPr>
      <w:r>
        <w:rPr>
          <w:rFonts w:hint="default" w:ascii="Times New Roman" w:hAnsi="Times New Roman" w:eastAsia="宋体" w:cs="Times New Roman"/>
          <w:b/>
          <w:bCs/>
          <w:i w:val="0"/>
          <w:iCs w:val="0"/>
          <w:caps w:val="0"/>
          <w:color w:val="auto"/>
          <w:spacing w:val="0"/>
          <w:sz w:val="24"/>
          <w:szCs w:val="24"/>
          <w:shd w:val="clear" w:fill="FFFFFF"/>
        </w:rPr>
        <w:t>课程介绍</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本课程立足新时代文化数字化背景，探索传统艺术与前沿科技的深度融合。中国绘画作为中华优秀文化的重要载体，承载着民族精神与审美理想，而人工智能正在为其保护、解析与传播注入全新动力。本课程以跨学科视角为特色，融合思政教育、美术史学、数据科学与计算机技术，系统讲解绘画数据化、智能分析、创意生成与数字展陈等内容。通过课程学习，学生不仅能够掌握中国绘画的基本概念与赏析方法，了解人工智能在图像处理和文化遗产中的应用，还能培养跨领域创新思维与研究能力，增强对传统文化的理解与认同。</w:t>
      </w:r>
    </w:p>
    <w:p w14:paraId="74F4D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lang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p>
    <w:p w14:paraId="33170F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0" w:firstLineChars="200"/>
        <w:jc w:val="both"/>
        <w:textAlignment w:val="auto"/>
        <w:rPr>
          <w:rFonts w:hint="default" w:ascii="Times New Roman" w:hAnsi="Times New Roman" w:eastAsia="宋体" w:cs="Times New Roman"/>
          <w:b w:val="0"/>
          <w:bCs w:val="0"/>
          <w:i w:val="0"/>
          <w:iCs w:val="0"/>
          <w:caps w:val="0"/>
          <w:color w:val="auto"/>
          <w:spacing w:val="0"/>
          <w:sz w:val="24"/>
          <w:szCs w:val="24"/>
          <w:shd w:val="clear" w:fill="FFFFFF"/>
          <w:lang w:eastAsia="zh-CN"/>
        </w:rPr>
      </w:pPr>
      <w:r>
        <w:rPr>
          <w:rFonts w:hint="default" w:ascii="Times New Roman" w:hAnsi="Times New Roman" w:eastAsia="宋体" w:cs="Times New Roman"/>
          <w:b w:val="0"/>
          <w:bCs w:val="0"/>
          <w:i w:val="0"/>
          <w:iCs w:val="0"/>
          <w:caps w:val="0"/>
          <w:color w:val="auto"/>
          <w:spacing w:val="0"/>
          <w:sz w:val="24"/>
          <w:szCs w:val="24"/>
          <w:shd w:val="clear" w:fill="FFFFFF"/>
          <w:lang w:eastAsia="zh-CN"/>
        </w:rPr>
        <w:t>1.时代要求：在国家大力推进文化数字化与人工智能发展的背景下，中国绘画作为中华优秀传统文化的重要载体，亟需在技术支持下实现数字化保护、智能解析与创新传播，以服务文化强国战略。</w:t>
      </w:r>
    </w:p>
    <w:p w14:paraId="7C5EAB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0" w:firstLineChars="200"/>
        <w:jc w:val="both"/>
        <w:textAlignment w:val="auto"/>
        <w:rPr>
          <w:rFonts w:hint="default" w:ascii="Times New Roman" w:hAnsi="Times New Roman" w:eastAsia="宋体" w:cs="Times New Roman"/>
          <w:b w:val="0"/>
          <w:bCs w:val="0"/>
          <w:i w:val="0"/>
          <w:iCs w:val="0"/>
          <w:caps w:val="0"/>
          <w:color w:val="auto"/>
          <w:spacing w:val="0"/>
          <w:sz w:val="24"/>
          <w:szCs w:val="24"/>
          <w:shd w:val="clear" w:fill="FFFFFF"/>
          <w:lang w:eastAsia="zh-CN"/>
        </w:rPr>
      </w:pPr>
      <w:r>
        <w:rPr>
          <w:rFonts w:hint="default" w:ascii="Times New Roman" w:hAnsi="Times New Roman" w:eastAsia="宋体" w:cs="Times New Roman"/>
          <w:b w:val="0"/>
          <w:bCs w:val="0"/>
          <w:i w:val="0"/>
          <w:iCs w:val="0"/>
          <w:caps w:val="0"/>
          <w:color w:val="auto"/>
          <w:spacing w:val="0"/>
          <w:sz w:val="24"/>
          <w:szCs w:val="24"/>
          <w:shd w:val="clear" w:fill="FFFFFF"/>
          <w:lang w:eastAsia="zh-CN"/>
        </w:rPr>
        <w:t>2.学术发展现状：当前人工智能在视觉计算、数据分析、生成建模等方面已取得突破，并逐渐应用于艺术研究。中国绘画与人工智能的结合正成为新的学术前沿，涉及数据化、理解分析、创作与展陈等方向，具备广阔的发展潜力。</w:t>
      </w:r>
    </w:p>
    <w:p w14:paraId="522FD6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0" w:firstLineChars="200"/>
        <w:jc w:val="both"/>
        <w:textAlignment w:val="auto"/>
        <w:rPr>
          <w:rFonts w:hint="default" w:ascii="Times New Roman" w:hAnsi="Times New Roman" w:eastAsia="宋体" w:cs="Times New Roman"/>
          <w:b w:val="0"/>
          <w:bCs w:val="0"/>
          <w:i w:val="0"/>
          <w:iCs w:val="0"/>
          <w:caps w:val="0"/>
          <w:color w:val="auto"/>
          <w:spacing w:val="0"/>
          <w:sz w:val="24"/>
          <w:szCs w:val="24"/>
          <w:shd w:val="clear" w:fill="FFFFFF"/>
          <w:lang w:eastAsia="zh-CN"/>
        </w:rPr>
      </w:pPr>
      <w:r>
        <w:rPr>
          <w:rFonts w:hint="default" w:ascii="Times New Roman" w:hAnsi="Times New Roman" w:eastAsia="宋体" w:cs="Times New Roman"/>
          <w:b w:val="0"/>
          <w:bCs w:val="0"/>
          <w:i w:val="0"/>
          <w:iCs w:val="0"/>
          <w:caps w:val="0"/>
          <w:color w:val="auto"/>
          <w:spacing w:val="0"/>
          <w:sz w:val="24"/>
          <w:szCs w:val="24"/>
          <w:shd w:val="clear" w:fill="FFFFFF"/>
          <w:lang w:eastAsia="zh-CN"/>
        </w:rPr>
        <w:t>3.学生特质与需求：来自不同专业的学生在艺术学、计算机科学、生物学、文学等方面拥有多元背景，需要通过跨学科课程拓展视野，探索人工智能与中国绘画交叉融合的新路径，培养综合素养与创新能力。</w:t>
      </w:r>
    </w:p>
    <w:p w14:paraId="70193290">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p>
    <w:p w14:paraId="2396CF04">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8.</w:t>
      </w:r>
      <w:r>
        <w:rPr>
          <w:rFonts w:hint="default" w:ascii="Times New Roman" w:hAnsi="Times New Roman" w:eastAsia="宋体" w:cs="Times New Roman"/>
          <w:b/>
          <w:bCs/>
          <w:sz w:val="24"/>
          <w:szCs w:val="24"/>
          <w:lang w:val="en-US" w:eastAsia="zh-CN"/>
        </w:rPr>
        <w:t>敦煌的艺术</w:t>
      </w:r>
    </w:p>
    <w:p w14:paraId="251C40E5">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敦煌石窟历经千年的持续营建，其丰富性和系统性是现存文化遗产中绝无仅有的。敦煌艺术包含了中国古代宗教、历史、艺术、科技等多方面文化内涵，是中国传统文化的一个杰出代表。</w:t>
      </w:r>
    </w:p>
    <w:p w14:paraId="5B23D8CE">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1、敦煌距今已有2000多年历史，是古代中西文化汇聚、碰撞、交融的重要场所；2、莫高窟在敦煌石窟中首屈一指，是世界历史文化的遗产，是国家精神文化的积淀，是民族生生不息的根基；3、时代更迭、洞窟受损，现代数字技术高保真地保存真实的敦煌艺术，向后世再现敦煌文化；4、敦煌文化和艺术的保护和弘扬是几代人的不断努力，”敦煌学”的传承需要中国当代大学生继往开来。</w:t>
      </w:r>
    </w:p>
    <w:p w14:paraId="6A233E50">
      <w:pPr>
        <w:keepNext w:val="0"/>
        <w:keepLines w:val="0"/>
        <w:pageBreakBefore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b w:val="0"/>
          <w:bCs w:val="0"/>
          <w:sz w:val="24"/>
          <w:szCs w:val="24"/>
          <w:lang w:val="en-US" w:eastAsia="zh-CN"/>
        </w:rPr>
      </w:pPr>
    </w:p>
    <w:p w14:paraId="4AC113A3">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9.</w:t>
      </w:r>
      <w:r>
        <w:rPr>
          <w:rFonts w:hint="default" w:ascii="Times New Roman" w:hAnsi="Times New Roman" w:eastAsia="宋体" w:cs="Times New Roman"/>
          <w:b/>
          <w:bCs/>
          <w:sz w:val="24"/>
          <w:szCs w:val="24"/>
          <w:lang w:val="en-US" w:eastAsia="zh-CN"/>
        </w:rPr>
        <w:t>世界著名博物馆艺术经典</w:t>
      </w:r>
    </w:p>
    <w:p w14:paraId="3A1EC3C0">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世界著名博物馆艺术经典》是一门介绍全球知名博物馆及其藏品的艺术课程。该课程旨在通过理论与实际考察相结合的方式，使学生深入了解巴黎卢浮宫博物馆、大都会艺术博物馆、英国国家画廊及梵蒂冈博物馆等世界级博物馆的艺术精品。课程涵盖博物馆的历史背景、建筑特点、主要收藏及代表作品等内容，让学生掌握艺术品鉴赏的基本技能。</w:t>
      </w:r>
    </w:p>
    <w:p w14:paraId="7825FCED">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博物馆是社会的记忆器官，是自然、人文、历史的基因库；引领学生走进世界各国的著名博物馆，就是引领大学生学习一部浓缩的、生动的人类文明发展史；世界各国的著名博物馆集中了人类历史上的艺术经典，体现了历史上各个时期、各个民族的审美趣味和精神追求。</w:t>
      </w:r>
    </w:p>
    <w:p w14:paraId="166AC04A">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eastAsia" w:ascii="Times New Roman" w:hAnsi="Times New Roman" w:eastAsia="宋体" w:cs="Times New Roman"/>
          <w:b/>
          <w:bCs/>
          <w:sz w:val="24"/>
          <w:szCs w:val="24"/>
          <w:lang w:val="en-US" w:eastAsia="zh-CN"/>
        </w:rPr>
      </w:pPr>
    </w:p>
    <w:p w14:paraId="6F065B93">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10.</w:t>
      </w:r>
      <w:r>
        <w:rPr>
          <w:rFonts w:hint="default" w:ascii="Times New Roman" w:hAnsi="Times New Roman" w:eastAsia="宋体" w:cs="Times New Roman"/>
          <w:b/>
          <w:bCs/>
          <w:sz w:val="24"/>
          <w:szCs w:val="24"/>
          <w:lang w:val="en-US" w:eastAsia="zh-CN"/>
        </w:rPr>
        <w:t>“非遗”之首——昆曲经典艺术欣赏</w:t>
      </w:r>
    </w:p>
    <w:p w14:paraId="47B9F727">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传承六百年的昆曲艺术，被称为“百戏之祖”“百戏之师”。它是我国古典表演艺术的经典，是我们民族文化艺术高度发展的成果、结晶。2001年，昆曲被联合国教科文组织列入首批“人类口头和非物质遗产代表作”，也是中国第一例。</w:t>
      </w:r>
    </w:p>
    <w:p w14:paraId="576EA4AA">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1、党中央领导人对昆曲艺术的重视。2015年，习近平主席在访问英国期间曾经提议中英两国人民共同纪念逝世四百周年的两位伟大的剧作家——莎士比亚和汤显祖，增加两国人民的理解，不但让国人理解自己民族的优秀传统艺术，也让昆曲成为一个走向世界的国家品牌。 2、互联网思维助力昆曲戏剧课程的影响。北京大学的昆曲艺术系列课程的开设已经进入第六个年头，距离青春版《牡丹亭》盛世也已十个年头，如何继续点燃学生的昆曲学习热情，如何利用新的学习媒介将昆曲艺术推广到西部大学生群体中去，网络平台自然当仁不让！既适应了当前学生移动互联网的生活方式，又将昆曲系列课程以新的面貌呈现到更广大的学生空间中去。 3、慕课方式推动美育走向更广阔的空间。昆曲艺术作为美育中的一个门类，对提升学生的审美情趣和艺术情操有着潜移默化的影响，借助慕课的方式可以帮助更多教育资源匮乏的地区和学校分享优质的教育资源和课程资源，以提高他们的审美水平和精神境界。</w:t>
      </w:r>
    </w:p>
    <w:p w14:paraId="1F5BC210">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p>
    <w:p w14:paraId="7B82A155">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rPr>
      </w:pPr>
      <w:r>
        <w:rPr>
          <w:rFonts w:hint="eastAsia" w:ascii="Times New Roman" w:hAnsi="Times New Roman" w:eastAsia="宋体" w:cs="Times New Roman"/>
          <w:b/>
          <w:bCs/>
          <w:sz w:val="24"/>
          <w:szCs w:val="24"/>
          <w:lang w:val="en-US" w:eastAsia="zh-CN"/>
        </w:rPr>
        <w:t>11</w:t>
      </w:r>
      <w:r>
        <w:rPr>
          <w:rFonts w:hint="default" w:ascii="Times New Roman" w:hAnsi="Times New Roman" w:eastAsia="宋体" w:cs="Times New Roman"/>
          <w:b/>
          <w:bCs/>
          <w:sz w:val="24"/>
          <w:szCs w:val="24"/>
          <w:lang w:val="en-US" w:eastAsia="zh-CN"/>
        </w:rPr>
        <w:t>.</w:t>
      </w:r>
      <w:r>
        <w:rPr>
          <w:rFonts w:hint="default" w:ascii="Times New Roman" w:hAnsi="Times New Roman" w:eastAsia="宋体" w:cs="Times New Roman"/>
          <w:b/>
          <w:bCs/>
          <w:i w:val="0"/>
          <w:iCs w:val="0"/>
          <w:caps w:val="0"/>
          <w:color w:val="auto"/>
          <w:spacing w:val="0"/>
          <w:sz w:val="24"/>
          <w:szCs w:val="24"/>
          <w:shd w:val="clear" w:fill="FFFFFF"/>
        </w:rPr>
        <w:t>创践——大学生创新创业实务</w:t>
      </w:r>
    </w:p>
    <w:p w14:paraId="6B63B83E">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i w:val="0"/>
          <w:iCs w:val="0"/>
          <w:caps w:val="0"/>
          <w:color w:val="auto"/>
          <w:spacing w:val="0"/>
          <w:sz w:val="24"/>
          <w:szCs w:val="24"/>
          <w:shd w:val="clear" w:fill="FFFFFF"/>
        </w:rPr>
        <w:t>《创践——大学生创新创业实务》是由中国海洋大学牵头，南开大学、四川大学、厦门大学共同制作，海尔集团、泰有投资参与建设的创新创业普适性课程，秉承“创践精业 立人笃行”的育人理念，引导学生通过创新性实践提升创业精神，开创事业和人生新境界，获评首批国家精品在线开放课程、国家一流课程，在创新创业类慕课中选课高校量和学生数均排名全国第一，入选人社部首届全国创业就业展示交流周“十大创业培训项目”，是高校唯一入选且被列为全国重点推广项目，双创教育经验被纳入《创业中国》案例集，获评山东省教学成果一等奖。</w:t>
      </w:r>
    </w:p>
    <w:p w14:paraId="4DF5F3CF">
      <w:pPr>
        <w:keepNext w:val="0"/>
        <w:keepLines w:val="0"/>
        <w:pageBreakBefore w:val="0"/>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课程背景：</w:t>
      </w:r>
      <w:r>
        <w:rPr>
          <w:rFonts w:hint="default" w:ascii="Times New Roman" w:hAnsi="Times New Roman" w:eastAsia="宋体" w:cs="Times New Roman"/>
          <w:i w:val="0"/>
          <w:iCs w:val="0"/>
          <w:caps w:val="0"/>
          <w:color w:val="auto"/>
          <w:spacing w:val="0"/>
          <w:sz w:val="24"/>
          <w:szCs w:val="24"/>
          <w:shd w:val="clear" w:fill="FFFFFF"/>
        </w:rPr>
        <w:t>1. 教育部要求调整各级各类学生培养方案，必须开设创新创业课程；2.目前高校创新创业教育存在创新精神、创业能力培养脱节的现象，将创新教育与创业教育割裂开来；3. 大学生是“大众创业，万众创新”的生力军，具备创业精神已经成为当代大学生的内在需求。</w:t>
      </w:r>
    </w:p>
    <w:p w14:paraId="708B0320">
      <w:pPr>
        <w:keepNext w:val="0"/>
        <w:keepLines w:val="0"/>
        <w:pageBreakBefore w:val="0"/>
        <w:numPr>
          <w:ilvl w:val="0"/>
          <w:numId w:val="0"/>
        </w:numPr>
        <w:kinsoku/>
        <w:wordWrap/>
        <w:overflowPunct/>
        <w:topLinePunct w:val="0"/>
        <w:autoSpaceDE/>
        <w:autoSpaceDN/>
        <w:bidi w:val="0"/>
        <w:adjustRightInd/>
        <w:snapToGrid/>
        <w:spacing w:line="340" w:lineRule="exact"/>
        <w:ind w:firstLine="480"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p>
    <w:p w14:paraId="283B84BC">
      <w:pPr>
        <w:keepNext w:val="0"/>
        <w:keepLines w:val="0"/>
        <w:pageBreakBefore w:val="0"/>
        <w:numPr>
          <w:ilvl w:val="0"/>
          <w:numId w:val="0"/>
        </w:numPr>
        <w:kinsoku/>
        <w:wordWrap/>
        <w:overflowPunct/>
        <w:topLinePunct w:val="0"/>
        <w:autoSpaceDE/>
        <w:autoSpaceDN/>
        <w:bidi w:val="0"/>
        <w:adjustRightInd/>
        <w:snapToGrid/>
        <w:spacing w:line="340" w:lineRule="exact"/>
        <w:ind w:leftChars="0"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12.</w:t>
      </w:r>
      <w:r>
        <w:rPr>
          <w:rFonts w:hint="default" w:ascii="Times New Roman" w:hAnsi="Times New Roman" w:eastAsia="宋体" w:cs="Times New Roman"/>
          <w:b/>
          <w:bCs/>
          <w:sz w:val="24"/>
          <w:szCs w:val="24"/>
          <w:lang w:val="en-US" w:eastAsia="zh-CN"/>
        </w:rPr>
        <w:t>公共关系与人际交往能力</w:t>
      </w:r>
    </w:p>
    <w:p w14:paraId="1DD59843">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sz w:val="24"/>
          <w:szCs w:val="24"/>
          <w:lang w:val="en-US" w:eastAsia="zh-CN"/>
        </w:rPr>
        <w:t>构建和谐社会，和谐人与人的关系是重中之重。由于人与人的空间距离越来越小；人与人的心灵空间距离却越来越大，阻碍了人际关系的和谐发展；克服人际交往障碍，提升人际交往能力是当前高等教育题中之义；聆听同济大学、复旦大学、华东师范大学等专家教授对公共关系中的人际交往和人际交往中的公共关系的详细解读；教会学生解析公共关系，透视人际交往，提高公关能力，优化公共关系；启发学生的社会责任感，奉献社会，发展自己。</w:t>
      </w:r>
    </w:p>
    <w:p w14:paraId="4BF45911">
      <w:pPr>
        <w:keepNext w:val="0"/>
        <w:keepLines w:val="0"/>
        <w:pageBreakBefore w:val="0"/>
        <w:numPr>
          <w:ilvl w:val="0"/>
          <w:numId w:val="0"/>
        </w:numPr>
        <w:kinsoku/>
        <w:wordWrap/>
        <w:overflowPunct/>
        <w:topLinePunct w:val="0"/>
        <w:autoSpaceDE/>
        <w:autoSpaceDN/>
        <w:bidi w:val="0"/>
        <w:adjustRightInd/>
        <w:snapToGrid/>
        <w:spacing w:line="340" w:lineRule="exact"/>
        <w:ind w:leftChars="0"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课程背景：</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1 构建和谐社会，和谐人与人的关系是重中之重随着人类交往的发展，全球化、信息化、网络化态势发展迅猛，人与人的空间距离越来越小；但由于生活节奏的加快，生活越来越便捷化，人的主体意识、独立意识越来越强，人与人的心灵空间距离却越来越大。人与人之间的“隔阂”犹如一条看不见的鸿沟，阻碍了人际关系的和谐发展。构建和谐社会，和谐人与人的关系是重中之重。2 人际交往是生活的必修课，是人生的重要音符基于当代大学生人际交往能力偏弱和构建社会主义和谐社会的需要的实际，我们认为，培育提升大学生人际交往能力，是当前高等教育题中之义。公共关系准则，运用于人际交往之中，能够建立发展更良好、更健康、更阳光的人际关系，也更有利于社会和谐。人的交际交往能力，不是天生的，是靠学习训练养成的。良好的人际关系，是人生成功的助推器，也是人愉悦身心的营养剂，更是社会和谐的润滑剂。</w:t>
      </w:r>
    </w:p>
    <w:p w14:paraId="11B889B5">
      <w:pPr>
        <w:keepNext w:val="0"/>
        <w:keepLines w:val="0"/>
        <w:pageBreakBefore w:val="0"/>
        <w:numPr>
          <w:ilvl w:val="0"/>
          <w:numId w:val="0"/>
        </w:numPr>
        <w:kinsoku/>
        <w:wordWrap/>
        <w:overflowPunct/>
        <w:topLinePunct w:val="0"/>
        <w:autoSpaceDE/>
        <w:autoSpaceDN/>
        <w:bidi w:val="0"/>
        <w:adjustRightInd/>
        <w:snapToGrid/>
        <w:spacing w:line="340" w:lineRule="exact"/>
        <w:ind w:leftChars="0" w:firstLine="480"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p>
    <w:p w14:paraId="4D03495A">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13.</w:t>
      </w:r>
      <w:r>
        <w:rPr>
          <w:rFonts w:hint="default" w:ascii="Times New Roman" w:hAnsi="Times New Roman" w:eastAsia="宋体" w:cs="Times New Roman"/>
          <w:b/>
          <w:bCs/>
          <w:sz w:val="24"/>
          <w:szCs w:val="24"/>
          <w:lang w:val="en-US" w:eastAsia="zh-CN"/>
        </w:rPr>
        <w:t>如何赢得大学生创新创业大赛</w:t>
      </w:r>
    </w:p>
    <w:p w14:paraId="5A74A195">
      <w:pPr>
        <w:keepNext w:val="0"/>
        <w:keepLines w:val="0"/>
        <w:pageBreakBefore w:val="0"/>
        <w:numPr>
          <w:ilvl w:val="0"/>
          <w:numId w:val="0"/>
        </w:numPr>
        <w:kinsoku/>
        <w:wordWrap/>
        <w:overflowPunct/>
        <w:topLinePunct w:val="0"/>
        <w:autoSpaceDE/>
        <w:autoSpaceDN/>
        <w:bidi w:val="0"/>
        <w:adjustRightInd/>
        <w:snapToGrid/>
        <w:spacing w:line="340" w:lineRule="exact"/>
        <w:ind w:leftChars="0"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想参加创新创业大赛不懂如何准备，怎么办？决定参赛却不知道如何选合适项目，怎么办？有好的创业项目不会写商业计划书，怎么办？进入决赛项目路演不明白如何训练，怎么办？没关系，《如何赢得大学生创新创业大赛》来教你！八位教师，倾情打造！凝结哈工程20年办赛经验；汇聚负责人16年指导心得！研究十余个大赛、探访百余个团队、分析千余个项目、形成很多小技巧！零基础？无经验？没关系，只要你有一颗敢闯会创的心！妙设计，巧引导，易学习，助力你实现创新创业大赛梦！</w:t>
      </w:r>
    </w:p>
    <w:p w14:paraId="6DCCB479">
      <w:pPr>
        <w:keepNext w:val="0"/>
        <w:keepLines w:val="0"/>
        <w:pageBreakBefore w:val="0"/>
        <w:numPr>
          <w:ilvl w:val="0"/>
          <w:numId w:val="0"/>
        </w:numPr>
        <w:kinsoku/>
        <w:wordWrap/>
        <w:overflowPunct/>
        <w:topLinePunct w:val="0"/>
        <w:autoSpaceDE/>
        <w:autoSpaceDN/>
        <w:bidi w:val="0"/>
        <w:adjustRightInd/>
        <w:snapToGrid/>
        <w:spacing w:line="340" w:lineRule="exact"/>
        <w:ind w:leftChars="0" w:firstLine="482" w:firstLineChars="200"/>
        <w:jc w:val="both"/>
        <w:textAlignment w:val="auto"/>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课程背景：</w:t>
      </w:r>
    </w:p>
    <w:p w14:paraId="311F1FED">
      <w:pPr>
        <w:keepNext w:val="0"/>
        <w:keepLines w:val="0"/>
        <w:pageBreakBefore w:val="0"/>
        <w:numPr>
          <w:ilvl w:val="0"/>
          <w:numId w:val="0"/>
        </w:numPr>
        <w:kinsoku/>
        <w:wordWrap/>
        <w:overflowPunct/>
        <w:topLinePunct w:val="0"/>
        <w:autoSpaceDE/>
        <w:autoSpaceDN/>
        <w:bidi w:val="0"/>
        <w:adjustRightInd/>
        <w:snapToGrid/>
        <w:spacing w:line="340" w:lineRule="exact"/>
        <w:ind w:leftChars="0" w:firstLine="480"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1、党中央和国务院高度重视高校创新创业教育和大学生创新创业大赛；2、参加大学生创新创业大赛有助于促进学生全面发展、提升学生综合素质；3、本课以“为什么参赛、参赛是什么、怎么样参赛”为逻辑主线，介绍参赛所需要掌握的重要原理和基础知识，为学生赢得创新创业大赛提供指南；4、哈尔滨工程大学自2000年举办学校“五四杯”创业计划大赛，已举办20届。2004年，获第四届“挑战杯”中国大学生创业计划大赛金奖，是“挑战杯”创业大赛历史上东北地区首个金奖。2015年，获首届中国“互联网+”大学生创新创业大赛金奖，是黑龙江省首个金奖，现已累计获得2金6银11铜。</w:t>
      </w:r>
    </w:p>
    <w:p w14:paraId="46E1D712">
      <w:pPr>
        <w:keepNext w:val="0"/>
        <w:keepLines w:val="0"/>
        <w:pageBreakBefore w:val="0"/>
        <w:numPr>
          <w:ilvl w:val="0"/>
          <w:numId w:val="0"/>
        </w:numPr>
        <w:kinsoku/>
        <w:wordWrap/>
        <w:overflowPunct/>
        <w:topLinePunct w:val="0"/>
        <w:autoSpaceDE/>
        <w:autoSpaceDN/>
        <w:bidi w:val="0"/>
        <w:adjustRightInd/>
        <w:snapToGrid/>
        <w:spacing w:line="340" w:lineRule="exact"/>
        <w:ind w:leftChars="0" w:firstLine="482" w:firstLineChars="200"/>
        <w:jc w:val="both"/>
        <w:textAlignment w:val="auto"/>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pPr>
    </w:p>
    <w:p w14:paraId="78078B6F">
      <w:pPr>
        <w:keepNext w:val="0"/>
        <w:keepLines w:val="0"/>
        <w:pageBreakBefore w:val="0"/>
        <w:numPr>
          <w:ilvl w:val="0"/>
          <w:numId w:val="0"/>
        </w:numPr>
        <w:kinsoku/>
        <w:wordWrap/>
        <w:overflowPunct/>
        <w:topLinePunct w:val="0"/>
        <w:autoSpaceDE/>
        <w:autoSpaceDN/>
        <w:bidi w:val="0"/>
        <w:adjustRightInd/>
        <w:snapToGrid/>
        <w:spacing w:line="340" w:lineRule="exact"/>
        <w:ind w:leftChars="0"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14.</w:t>
      </w:r>
      <w:r>
        <w:rPr>
          <w:rFonts w:hint="default" w:ascii="Times New Roman" w:hAnsi="Times New Roman" w:eastAsia="宋体" w:cs="Times New Roman"/>
          <w:b/>
          <w:bCs/>
          <w:sz w:val="24"/>
          <w:szCs w:val="24"/>
          <w:lang w:val="en-US" w:eastAsia="zh-CN"/>
        </w:rPr>
        <w:t>大学生劳动就业法律问题解读</w:t>
      </w:r>
    </w:p>
    <w:p w14:paraId="6EDE89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2" w:firstLineChars="200"/>
        <w:jc w:val="both"/>
        <w:textAlignment w:val="auto"/>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b/>
          <w:bCs/>
          <w:i w:val="0"/>
          <w:iCs w:val="0"/>
          <w:caps w:val="0"/>
          <w:color w:val="auto"/>
          <w:spacing w:val="0"/>
          <w:sz w:val="24"/>
          <w:szCs w:val="24"/>
          <w:shd w:val="clear" w:fill="FFFFFF"/>
        </w:rPr>
        <w:t>课程介绍</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同学们，你是否为了找工作而焦头烂额？拿到offer时是不是十分欣喜？但在就业过程中，你知道offer、三方协议、劳动合同签订中暗藏的风险吗？你知道就业中雇佣你的用人单位的主要类型和主要用工模式（如全日制、非全日制、劳务派遣、人事代理，劳务外包）的特点吗？你知道如何渡过职场试用期、从而真正成为职场人士的技巧吗？本课程将让你了解和掌握上述问题，让你轻松化解风险，为你成功顺利就业助一臂之力。</w:t>
      </w:r>
    </w:p>
    <w:p w14:paraId="7942AA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40" w:lineRule="exact"/>
        <w:ind w:left="0" w:right="0" w:firstLine="482"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大学生在就业过程中将要面临的一系列法律问题，而了解和掌握劳动法的一般原理和基本知识，以及劳动就业中常见的劳动法律问题，不仅对就业有直接的帮助，而且对大学生依法维护自身合法权益都具有重要的意义。</w:t>
      </w:r>
    </w:p>
    <w:p w14:paraId="44F9E2B8">
      <w:pPr>
        <w:keepNext w:val="0"/>
        <w:keepLines w:val="0"/>
        <w:pageBreakBefore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宋体" w:cs="Times New Roman"/>
          <w:b/>
          <w:bCs/>
          <w:sz w:val="24"/>
          <w:szCs w:val="24"/>
          <w:lang w:val="en-US" w:eastAsia="zh-CN"/>
        </w:rPr>
      </w:pPr>
    </w:p>
    <w:p w14:paraId="0C888828">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15.</w:t>
      </w:r>
      <w:r>
        <w:rPr>
          <w:rFonts w:hint="default" w:ascii="Times New Roman" w:hAnsi="Times New Roman" w:eastAsia="宋体" w:cs="Times New Roman"/>
          <w:b/>
          <w:bCs/>
          <w:sz w:val="24"/>
          <w:szCs w:val="24"/>
          <w:lang w:val="en-US" w:eastAsia="zh-CN"/>
        </w:rPr>
        <w:t>创业管理（上海财经大学）</w:t>
      </w:r>
    </w:p>
    <w:p w14:paraId="5281A482">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创业不再是离经叛道的选择，而是青年人除了传统职业生涯之外的正常的生活方式。优质共享课《创业管理》由上海财经大学刘志阳教授发起，联合中央财经大学、复旦大学、知名风投人共同打造。本课程融创业知识与商业实践为一体，让学生能亲身体验创业的流程，同时为学生与创业实干家们搭建了沟通的桥梁。使学生意识到创业不只停留在理论上，实践更重要！ 本课程最大的特点是汇聚管理创业理论和实践的诸多名家围绕创业管理的经典问题进行阐释，同时配合线下知名投资人展开创业计划竞赛，相信随着你的学习和实践你将获得创业实践能力的提升。</w:t>
      </w:r>
    </w:p>
    <w:p w14:paraId="60FA46B1">
      <w:pPr>
        <w:keepNext w:val="0"/>
        <w:keepLines w:val="0"/>
        <w:pageBreakBefore w:val="0"/>
        <w:numPr>
          <w:ilvl w:val="0"/>
          <w:numId w:val="0"/>
        </w:numPr>
        <w:kinsoku/>
        <w:wordWrap/>
        <w:overflowPunct/>
        <w:topLinePunct w:val="0"/>
        <w:autoSpaceDE/>
        <w:autoSpaceDN/>
        <w:bidi w:val="0"/>
        <w:adjustRightInd/>
        <w:snapToGrid/>
        <w:spacing w:line="34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如何培养大学生的创新精神和创业能力？目前市面上的相关课程大都围绕创业启蒙和指导来展开，重理论而轻实践。</w:t>
      </w:r>
    </w:p>
    <w:p w14:paraId="1019BFF4">
      <w:pPr>
        <w:keepNext w:val="0"/>
        <w:keepLines w:val="0"/>
        <w:pageBreakBefore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b w:val="0"/>
          <w:bCs w:val="0"/>
          <w:sz w:val="24"/>
          <w:szCs w:val="24"/>
          <w:lang w:val="en-US" w:eastAsia="zh-CN"/>
        </w:rPr>
      </w:pPr>
    </w:p>
    <w:p w14:paraId="00086D52">
      <w:pPr>
        <w:ind w:firstLine="3083" w:firstLineChars="1200"/>
        <w:rPr>
          <w:rFonts w:ascii="黑体" w:hAnsi="黑体" w:eastAsia="黑体" w:cs="宋体"/>
          <w:b/>
          <w:color w:val="3F3F3F"/>
          <w:spacing w:val="8"/>
          <w:kern w:val="0"/>
          <w:sz w:val="24"/>
          <w:szCs w:val="24"/>
        </w:rPr>
      </w:pPr>
    </w:p>
    <w:p w14:paraId="64AE4BCB">
      <w:pPr>
        <w:ind w:firstLine="3083" w:firstLineChars="1200"/>
        <w:rPr>
          <w:rFonts w:ascii="黑体" w:hAnsi="黑体" w:eastAsia="黑体" w:cs="宋体"/>
          <w:b/>
          <w:color w:val="3F3F3F"/>
          <w:spacing w:val="8"/>
          <w:kern w:val="0"/>
          <w:sz w:val="24"/>
          <w:szCs w:val="24"/>
        </w:rPr>
      </w:pPr>
    </w:p>
    <w:tbl>
      <w:tblPr>
        <w:tblStyle w:val="8"/>
        <w:tblW w:w="10558" w:type="dxa"/>
        <w:tblInd w:w="-983" w:type="dxa"/>
        <w:tblLayout w:type="fixed"/>
        <w:tblCellMar>
          <w:top w:w="0" w:type="dxa"/>
          <w:left w:w="108" w:type="dxa"/>
          <w:bottom w:w="0" w:type="dxa"/>
          <w:right w:w="108" w:type="dxa"/>
        </w:tblCellMar>
      </w:tblPr>
      <w:tblGrid>
        <w:gridCol w:w="3265"/>
        <w:gridCol w:w="3877"/>
        <w:gridCol w:w="1073"/>
        <w:gridCol w:w="1120"/>
        <w:gridCol w:w="1223"/>
      </w:tblGrid>
      <w:tr w14:paraId="549C147C">
        <w:tblPrEx>
          <w:tblCellMar>
            <w:top w:w="0" w:type="dxa"/>
            <w:left w:w="108" w:type="dxa"/>
            <w:bottom w:w="0" w:type="dxa"/>
            <w:right w:w="108" w:type="dxa"/>
          </w:tblCellMar>
        </w:tblPrEx>
        <w:trPr>
          <w:trHeight w:val="656" w:hRule="atLeast"/>
        </w:trPr>
        <w:tc>
          <w:tcPr>
            <w:tcW w:w="10558" w:type="dxa"/>
            <w:gridSpan w:val="5"/>
            <w:tcBorders>
              <w:top w:val="single" w:color="000000" w:sz="8" w:space="0"/>
              <w:left w:val="single" w:color="000000" w:sz="8" w:space="0"/>
              <w:bottom w:val="single" w:color="000000" w:sz="8" w:space="0"/>
              <w:right w:val="single" w:color="000000" w:sz="8" w:space="0"/>
            </w:tcBorders>
            <w:vAlign w:val="center"/>
          </w:tcPr>
          <w:p w14:paraId="23D24489">
            <w:pPr>
              <w:jc w:val="center"/>
              <w:rPr>
                <w:rFonts w:ascii="黑体" w:hAnsi="黑体" w:eastAsia="黑体" w:cs="宋体"/>
                <w:b/>
                <w:color w:val="3F3F3F"/>
                <w:spacing w:val="8"/>
                <w:kern w:val="0"/>
                <w:sz w:val="24"/>
                <w:szCs w:val="24"/>
              </w:rPr>
            </w:pPr>
            <w:r>
              <w:rPr>
                <w:rFonts w:ascii="黑体" w:hAnsi="黑体" w:eastAsia="黑体" w:cs="宋体"/>
                <w:b/>
                <w:color w:val="3F3F3F"/>
                <w:spacing w:val="8"/>
                <w:kern w:val="0"/>
                <w:sz w:val="24"/>
                <w:szCs w:val="24"/>
              </w:rPr>
              <w:t>超星平台课程简介</w:t>
            </w:r>
            <w:bookmarkStart w:id="19" w:name="_GoBack"/>
            <w:bookmarkEnd w:id="19"/>
          </w:p>
        </w:tc>
      </w:tr>
      <w:tr w14:paraId="23DC5F6D">
        <w:tblPrEx>
          <w:tblCellMar>
            <w:top w:w="0" w:type="dxa"/>
            <w:left w:w="108" w:type="dxa"/>
            <w:bottom w:w="0" w:type="dxa"/>
            <w:right w:w="108" w:type="dxa"/>
          </w:tblCellMar>
        </w:tblPrEx>
        <w:trPr>
          <w:trHeight w:val="345" w:hRule="atLeast"/>
        </w:trPr>
        <w:tc>
          <w:tcPr>
            <w:tcW w:w="3265" w:type="dxa"/>
            <w:tcBorders>
              <w:top w:val="single" w:color="000000" w:sz="8" w:space="0"/>
              <w:left w:val="single" w:color="000000" w:sz="8" w:space="0"/>
              <w:bottom w:val="single" w:color="000000" w:sz="8" w:space="0"/>
              <w:right w:val="single" w:color="000000" w:sz="8" w:space="0"/>
            </w:tcBorders>
            <w:vAlign w:val="center"/>
          </w:tcPr>
          <w:p w14:paraId="6E0A7F8A">
            <w:pPr>
              <w:widowControl/>
              <w:jc w:val="center"/>
              <w:textAlignment w:val="top"/>
              <w:rPr>
                <w:rFonts w:ascii="微软雅黑" w:hAnsi="微软雅黑" w:eastAsia="微软雅黑" w:cs="微软雅黑"/>
                <w:color w:val="3F3F3F"/>
                <w:kern w:val="0"/>
                <w:sz w:val="21"/>
                <w:szCs w:val="21"/>
                <w:lang w:bidi="ar"/>
              </w:rPr>
            </w:pPr>
            <w:r>
              <w:rPr>
                <w:rFonts w:hint="eastAsia" w:ascii="微软雅黑" w:hAnsi="微软雅黑" w:eastAsia="微软雅黑" w:cs="微软雅黑"/>
                <w:color w:val="3F3F3F"/>
                <w:kern w:val="0"/>
                <w:sz w:val="21"/>
                <w:szCs w:val="21"/>
                <w:lang w:bidi="ar"/>
              </w:rPr>
              <w:t>课程类别</w:t>
            </w:r>
          </w:p>
        </w:tc>
        <w:tc>
          <w:tcPr>
            <w:tcW w:w="3877" w:type="dxa"/>
            <w:tcBorders>
              <w:top w:val="single" w:color="000000" w:sz="8" w:space="0"/>
              <w:left w:val="single" w:color="000000" w:sz="8" w:space="0"/>
              <w:bottom w:val="single" w:color="000000" w:sz="8" w:space="0"/>
              <w:right w:val="single" w:color="auto" w:sz="4" w:space="0"/>
            </w:tcBorders>
            <w:shd w:val="clear" w:color="auto" w:fill="auto"/>
            <w:vAlign w:val="center"/>
          </w:tcPr>
          <w:p w14:paraId="23CBCA5E">
            <w:pPr>
              <w:widowControl/>
              <w:jc w:val="center"/>
              <w:textAlignment w:val="top"/>
              <w:rPr>
                <w:rFonts w:ascii="微软雅黑" w:hAnsi="微软雅黑" w:eastAsia="微软雅黑" w:cs="微软雅黑"/>
                <w:color w:val="3F3F3F"/>
                <w:sz w:val="21"/>
                <w:szCs w:val="21"/>
              </w:rPr>
            </w:pPr>
            <w:r>
              <w:rPr>
                <w:rFonts w:hint="eastAsia" w:ascii="微软雅黑" w:hAnsi="微软雅黑" w:eastAsia="微软雅黑" w:cs="微软雅黑"/>
                <w:color w:val="3F3F3F"/>
                <w:kern w:val="0"/>
                <w:sz w:val="21"/>
                <w:szCs w:val="21"/>
                <w:lang w:bidi="ar"/>
              </w:rPr>
              <w:t>课程名称</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5C1F4DF1">
            <w:pPr>
              <w:widowControl/>
              <w:jc w:val="center"/>
              <w:textAlignment w:val="top"/>
              <w:rPr>
                <w:rFonts w:hint="eastAsia" w:ascii="微软雅黑" w:hAnsi="微软雅黑" w:eastAsia="微软雅黑" w:cs="微软雅黑"/>
                <w:color w:val="3F3F3F"/>
                <w:sz w:val="21"/>
                <w:szCs w:val="21"/>
                <w:lang w:val="en-US" w:eastAsia="zh-CN"/>
              </w:rPr>
            </w:pPr>
            <w:r>
              <w:rPr>
                <w:rFonts w:hint="eastAsia" w:ascii="微软雅黑" w:hAnsi="微软雅黑" w:eastAsia="微软雅黑" w:cs="微软雅黑"/>
                <w:color w:val="3F3F3F"/>
                <w:sz w:val="21"/>
                <w:szCs w:val="21"/>
                <w:lang w:val="en-US" w:eastAsia="zh-CN"/>
              </w:rPr>
              <w:t>学分</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C747D5E">
            <w:pPr>
              <w:widowControl/>
              <w:jc w:val="center"/>
              <w:textAlignment w:val="top"/>
              <w:rPr>
                <w:rFonts w:hint="eastAsia" w:ascii="微软雅黑" w:hAnsi="微软雅黑" w:eastAsia="微软雅黑" w:cs="微软雅黑"/>
                <w:color w:val="3F3F3F"/>
                <w:kern w:val="0"/>
                <w:sz w:val="21"/>
                <w:szCs w:val="21"/>
                <w:lang w:bidi="ar"/>
              </w:rPr>
            </w:pPr>
            <w:r>
              <w:rPr>
                <w:rFonts w:hint="eastAsia" w:ascii="微软雅黑" w:hAnsi="微软雅黑" w:eastAsia="微软雅黑" w:cs="微软雅黑"/>
                <w:color w:val="3F3F3F"/>
                <w:kern w:val="0"/>
                <w:sz w:val="21"/>
                <w:szCs w:val="21"/>
                <w:lang w:bidi="ar"/>
              </w:rPr>
              <w:t>开课平台</w:t>
            </w:r>
          </w:p>
        </w:tc>
        <w:tc>
          <w:tcPr>
            <w:tcW w:w="1223" w:type="dxa"/>
            <w:tcBorders>
              <w:top w:val="single" w:color="000000" w:sz="8" w:space="0"/>
              <w:left w:val="single" w:color="auto" w:sz="4" w:space="0"/>
              <w:bottom w:val="single" w:color="000000" w:sz="8" w:space="0"/>
              <w:right w:val="single" w:color="000000" w:sz="8" w:space="0"/>
            </w:tcBorders>
            <w:shd w:val="clear" w:color="auto" w:fill="auto"/>
            <w:vAlign w:val="center"/>
          </w:tcPr>
          <w:p w14:paraId="37FDEF91">
            <w:pPr>
              <w:widowControl/>
              <w:jc w:val="center"/>
              <w:textAlignment w:val="top"/>
              <w:rPr>
                <w:rFonts w:ascii="微软雅黑" w:hAnsi="微软雅黑" w:eastAsia="微软雅黑" w:cs="微软雅黑"/>
                <w:color w:val="3F3F3F"/>
                <w:sz w:val="21"/>
                <w:szCs w:val="21"/>
              </w:rPr>
            </w:pPr>
            <w:r>
              <w:rPr>
                <w:rFonts w:hint="eastAsia" w:ascii="微软雅黑" w:hAnsi="微软雅黑" w:eastAsia="微软雅黑" w:cs="微软雅黑"/>
                <w:color w:val="3F3F3F"/>
                <w:kern w:val="0"/>
                <w:sz w:val="21"/>
                <w:szCs w:val="21"/>
                <w:lang w:bidi="ar"/>
              </w:rPr>
              <w:t>线上/线下</w:t>
            </w:r>
          </w:p>
        </w:tc>
      </w:tr>
      <w:tr w14:paraId="41008DF3">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vAlign w:val="center"/>
          </w:tcPr>
          <w:p w14:paraId="5845929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公共选修课A类（人文社科）</w:t>
            </w:r>
          </w:p>
        </w:tc>
        <w:tc>
          <w:tcPr>
            <w:tcW w:w="38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59B5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2"/>
                <w:sz w:val="20"/>
                <w:szCs w:val="20"/>
                <w:u w:val="none"/>
                <w:lang w:val="en-US" w:eastAsia="zh-CN" w:bidi="ar-SA"/>
              </w:rPr>
              <w:t>大学生健康教育</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57F48B47">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112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0E975C7">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超星</w:t>
            </w:r>
          </w:p>
        </w:tc>
        <w:tc>
          <w:tcPr>
            <w:tcW w:w="1223" w:type="dxa"/>
            <w:vMerge w:val="restart"/>
            <w:tcBorders>
              <w:top w:val="single" w:color="000000" w:sz="8" w:space="0"/>
              <w:left w:val="single" w:color="000000" w:sz="8" w:space="0"/>
              <w:right w:val="single" w:color="000000" w:sz="8" w:space="0"/>
            </w:tcBorders>
            <w:shd w:val="clear" w:color="auto" w:fill="auto"/>
            <w:vAlign w:val="center"/>
          </w:tcPr>
          <w:p w14:paraId="5B90119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线上</w:t>
            </w:r>
          </w:p>
        </w:tc>
      </w:tr>
      <w:tr w14:paraId="09B8F03C">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27BEB">
            <w:pPr>
              <w:widowControl/>
              <w:jc w:val="center"/>
              <w:textAlignment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公共选修课A类（人文社科）</w:t>
            </w:r>
          </w:p>
        </w:tc>
        <w:tc>
          <w:tcPr>
            <w:tcW w:w="38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8BBA3">
            <w:pPr>
              <w:widowControl/>
              <w:jc w:val="center"/>
              <w:textAlignment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国家安全教育</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7CF3512D">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2</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E79DA44">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1D7E1A05">
            <w:pPr>
              <w:jc w:val="center"/>
              <w:rPr>
                <w:rFonts w:ascii="微软雅黑" w:hAnsi="微软雅黑" w:eastAsia="微软雅黑" w:cs="微软雅黑"/>
                <w:color w:val="3F3F3F"/>
                <w:sz w:val="18"/>
                <w:szCs w:val="18"/>
              </w:rPr>
            </w:pPr>
          </w:p>
        </w:tc>
      </w:tr>
      <w:tr w14:paraId="543777C7">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vAlign w:val="center"/>
          </w:tcPr>
          <w:p w14:paraId="16E4ED0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77" w:type="dxa"/>
            <w:tcBorders>
              <w:top w:val="single" w:color="000000" w:sz="8" w:space="0"/>
              <w:left w:val="single" w:color="000000" w:sz="8" w:space="0"/>
              <w:bottom w:val="single" w:color="000000" w:sz="8" w:space="0"/>
              <w:right w:val="single" w:color="000000" w:sz="8" w:space="0"/>
            </w:tcBorders>
            <w:shd w:val="clear"/>
            <w:vAlign w:val="center"/>
          </w:tcPr>
          <w:p w14:paraId="676657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人工智能安全与伦理</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5C430BAB">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1</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19B40CE">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132381CE">
            <w:pPr>
              <w:jc w:val="center"/>
              <w:rPr>
                <w:rFonts w:ascii="微软雅黑" w:hAnsi="微软雅黑" w:eastAsia="微软雅黑" w:cs="微软雅黑"/>
                <w:color w:val="3F3F3F"/>
                <w:sz w:val="18"/>
                <w:szCs w:val="18"/>
              </w:rPr>
            </w:pPr>
          </w:p>
        </w:tc>
      </w:tr>
      <w:tr w14:paraId="77F04A7E">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vAlign w:val="center"/>
          </w:tcPr>
          <w:p w14:paraId="6EFAF31E">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DC055">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大学计算机与人工智能</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3DD84F13">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1</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B47FDDA">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2E5E6FB5">
            <w:pPr>
              <w:jc w:val="center"/>
              <w:rPr>
                <w:rFonts w:ascii="微软雅黑" w:hAnsi="微软雅黑" w:eastAsia="微软雅黑" w:cs="微软雅黑"/>
                <w:color w:val="3F3F3F"/>
                <w:sz w:val="18"/>
                <w:szCs w:val="18"/>
              </w:rPr>
            </w:pPr>
          </w:p>
        </w:tc>
      </w:tr>
      <w:tr w14:paraId="1B332C58">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vAlign w:val="center"/>
          </w:tcPr>
          <w:p w14:paraId="5866B88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77" w:type="dxa"/>
            <w:tcBorders>
              <w:top w:val="single" w:color="000000" w:sz="8" w:space="0"/>
              <w:left w:val="single" w:color="000000" w:sz="8" w:space="0"/>
              <w:bottom w:val="single" w:color="000000" w:sz="8" w:space="0"/>
              <w:right w:val="single" w:color="000000" w:sz="8" w:space="0"/>
            </w:tcBorders>
            <w:shd w:val="clear"/>
            <w:vAlign w:val="center"/>
          </w:tcPr>
          <w:p w14:paraId="77C15347">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Style w:val="23"/>
                <w:lang w:val="en-US" w:eastAsia="zh-CN" w:bidi="ar"/>
              </w:rPr>
              <w:t>大数据导论</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4EA4B4E4">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1</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15A6B42">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1FBC7076">
            <w:pPr>
              <w:jc w:val="center"/>
              <w:rPr>
                <w:rFonts w:ascii="微软雅黑" w:hAnsi="微软雅黑" w:eastAsia="微软雅黑" w:cs="微软雅黑"/>
                <w:color w:val="3F3F3F"/>
                <w:sz w:val="18"/>
                <w:szCs w:val="18"/>
              </w:rPr>
            </w:pPr>
          </w:p>
        </w:tc>
      </w:tr>
      <w:tr w14:paraId="7E8FC31C">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vAlign w:val="center"/>
          </w:tcPr>
          <w:p w14:paraId="18E39A3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77" w:type="dxa"/>
            <w:tcBorders>
              <w:top w:val="single" w:color="000000" w:sz="8" w:space="0"/>
              <w:left w:val="single" w:color="000000" w:sz="8" w:space="0"/>
              <w:bottom w:val="single" w:color="000000" w:sz="8" w:space="0"/>
              <w:right w:val="single" w:color="000000" w:sz="8" w:space="0"/>
            </w:tcBorders>
            <w:shd w:val="clear"/>
            <w:vAlign w:val="center"/>
          </w:tcPr>
          <w:p w14:paraId="6E9F8438">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Style w:val="23"/>
                <w:lang w:val="en-US" w:eastAsia="zh-CN" w:bidi="ar"/>
              </w:rPr>
              <w:t>人工智能与信息社会</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78A0558C">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2</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0A79339">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39FEC9C8">
            <w:pPr>
              <w:jc w:val="center"/>
              <w:rPr>
                <w:rFonts w:ascii="微软雅黑" w:hAnsi="微软雅黑" w:eastAsia="微软雅黑" w:cs="微软雅黑"/>
                <w:color w:val="3F3F3F"/>
                <w:sz w:val="18"/>
                <w:szCs w:val="18"/>
              </w:rPr>
            </w:pPr>
          </w:p>
        </w:tc>
      </w:tr>
      <w:tr w14:paraId="7F894101">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vAlign w:val="center"/>
          </w:tcPr>
          <w:p w14:paraId="1538FEC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27407">
            <w:pPr>
              <w:widowControl/>
              <w:jc w:val="center"/>
              <w:textAlignment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生成式人工智能原理及其影响和应用</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7B7A0DAD">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1</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28B2039">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146B9D96">
            <w:pPr>
              <w:jc w:val="center"/>
              <w:rPr>
                <w:rFonts w:ascii="微软雅黑" w:hAnsi="微软雅黑" w:eastAsia="微软雅黑" w:cs="微软雅黑"/>
                <w:color w:val="3F3F3F"/>
                <w:sz w:val="18"/>
                <w:szCs w:val="18"/>
              </w:rPr>
            </w:pPr>
          </w:p>
        </w:tc>
      </w:tr>
      <w:tr w14:paraId="6DD8FE0F">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vAlign w:val="center"/>
          </w:tcPr>
          <w:p w14:paraId="4F8FC86F">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77" w:type="dxa"/>
            <w:tcBorders>
              <w:top w:val="single" w:color="000000" w:sz="8" w:space="0"/>
              <w:left w:val="single" w:color="000000" w:sz="8" w:space="0"/>
              <w:bottom w:val="single" w:color="000000" w:sz="8" w:space="0"/>
              <w:right w:val="single" w:color="000000" w:sz="8" w:space="0"/>
            </w:tcBorders>
            <w:shd w:val="clear"/>
            <w:vAlign w:val="center"/>
          </w:tcPr>
          <w:p w14:paraId="5A093AF1">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智驭未来：</w:t>
            </w:r>
            <w:r>
              <w:rPr>
                <w:rFonts w:hint="default" w:ascii="Times New Roman" w:hAnsi="Times New Roman" w:eastAsia="宋体" w:cs="Times New Roman"/>
                <w:i w:val="0"/>
                <w:iCs w:val="0"/>
                <w:color w:val="000000"/>
                <w:kern w:val="0"/>
                <w:sz w:val="20"/>
                <w:szCs w:val="20"/>
                <w:u w:val="none"/>
                <w:lang w:val="en-US" w:eastAsia="zh-CN" w:bidi="ar"/>
              </w:rPr>
              <w:t>AI</w:t>
            </w:r>
            <w:r>
              <w:rPr>
                <w:rFonts w:hint="eastAsia" w:ascii="宋体" w:hAnsi="宋体" w:eastAsia="宋体" w:cs="宋体"/>
                <w:i w:val="0"/>
                <w:iCs w:val="0"/>
                <w:color w:val="000000"/>
                <w:kern w:val="0"/>
                <w:sz w:val="20"/>
                <w:szCs w:val="20"/>
                <w:u w:val="none"/>
                <w:lang w:val="en-US" w:eastAsia="zh-CN" w:bidi="ar"/>
              </w:rPr>
              <w:t>工具辅助高效学习与科研</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2F27099E">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1</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AA90AA0">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07A8B29E">
            <w:pPr>
              <w:jc w:val="center"/>
              <w:rPr>
                <w:rFonts w:ascii="微软雅黑" w:hAnsi="微软雅黑" w:eastAsia="微软雅黑" w:cs="微软雅黑"/>
                <w:color w:val="3F3F3F"/>
                <w:sz w:val="18"/>
                <w:szCs w:val="18"/>
              </w:rPr>
            </w:pPr>
          </w:p>
        </w:tc>
      </w:tr>
      <w:tr w14:paraId="6E0BD275">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vAlign w:val="center"/>
          </w:tcPr>
          <w:p w14:paraId="34FF951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6F2D6">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走进人工智能</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419EDC06">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1</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F5C1AD9">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066BBBAF">
            <w:pPr>
              <w:jc w:val="center"/>
              <w:rPr>
                <w:rFonts w:ascii="微软雅黑" w:hAnsi="微软雅黑" w:eastAsia="微软雅黑" w:cs="微软雅黑"/>
                <w:color w:val="3F3F3F"/>
                <w:sz w:val="18"/>
                <w:szCs w:val="18"/>
              </w:rPr>
            </w:pPr>
          </w:p>
        </w:tc>
      </w:tr>
      <w:tr w14:paraId="1EA4C505">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shd w:val="clear"/>
            <w:vAlign w:val="center"/>
          </w:tcPr>
          <w:p w14:paraId="5695C0F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类（艺术、体育）</w:t>
            </w:r>
          </w:p>
        </w:tc>
        <w:tc>
          <w:tcPr>
            <w:tcW w:w="38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7FA1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大学美育（同济大学版）</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14E195E7">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2</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CAC18D2">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2D408115">
            <w:pPr>
              <w:jc w:val="center"/>
              <w:rPr>
                <w:rFonts w:ascii="微软雅黑" w:hAnsi="微软雅黑" w:eastAsia="微软雅黑" w:cs="微软雅黑"/>
                <w:color w:val="3F3F3F"/>
                <w:sz w:val="18"/>
                <w:szCs w:val="18"/>
              </w:rPr>
            </w:pPr>
          </w:p>
        </w:tc>
      </w:tr>
      <w:tr w14:paraId="1A6C6263">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right w:val="single" w:color="000000" w:sz="8" w:space="0"/>
            </w:tcBorders>
            <w:shd w:val="clear"/>
            <w:vAlign w:val="center"/>
          </w:tcPr>
          <w:p w14:paraId="322701BF">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类（艺术、体育）</w:t>
            </w:r>
          </w:p>
        </w:tc>
        <w:tc>
          <w:tcPr>
            <w:tcW w:w="3877" w:type="dxa"/>
            <w:tcBorders>
              <w:top w:val="single" w:color="000000" w:sz="8" w:space="0"/>
              <w:left w:val="single" w:color="000000" w:sz="8" w:space="0"/>
              <w:bottom w:val="single" w:color="000000" w:sz="8" w:space="0"/>
              <w:right w:val="single" w:color="000000" w:sz="8" w:space="0"/>
            </w:tcBorders>
            <w:shd w:val="clear"/>
            <w:vAlign w:val="center"/>
          </w:tcPr>
          <w:p w14:paraId="1D7AC751">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从草根到殿堂：流行音乐导论</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0A3D3A7B">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2</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52F57DC">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69F9422B">
            <w:pPr>
              <w:jc w:val="center"/>
              <w:rPr>
                <w:rFonts w:ascii="微软雅黑" w:hAnsi="微软雅黑" w:eastAsia="微软雅黑" w:cs="微软雅黑"/>
                <w:color w:val="3F3F3F"/>
                <w:sz w:val="18"/>
                <w:szCs w:val="18"/>
              </w:rPr>
            </w:pPr>
          </w:p>
        </w:tc>
      </w:tr>
      <w:tr w14:paraId="2CFFCD22">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vAlign w:val="center"/>
          </w:tcPr>
          <w:p w14:paraId="4B071F9E">
            <w:pPr>
              <w:widowControl/>
              <w:jc w:val="center"/>
              <w:textAlignment w:val="center"/>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公共选修课A类（人文社科）</w:t>
            </w:r>
          </w:p>
        </w:tc>
        <w:tc>
          <w:tcPr>
            <w:tcW w:w="38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4DE51">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大国兵器</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31E1B52D">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2</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B267053">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3AF03A77">
            <w:pPr>
              <w:jc w:val="center"/>
              <w:rPr>
                <w:rFonts w:ascii="微软雅黑" w:hAnsi="微软雅黑" w:eastAsia="微软雅黑" w:cs="微软雅黑"/>
                <w:color w:val="3F3F3F"/>
                <w:sz w:val="18"/>
                <w:szCs w:val="18"/>
              </w:rPr>
            </w:pPr>
          </w:p>
        </w:tc>
      </w:tr>
      <w:tr w14:paraId="2C76FE9B">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shd w:val="clear"/>
            <w:vAlign w:val="center"/>
          </w:tcPr>
          <w:p w14:paraId="6C6D6C63">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877" w:type="dxa"/>
            <w:tcBorders>
              <w:top w:val="single" w:color="000000" w:sz="8" w:space="0"/>
              <w:left w:val="single" w:color="000000" w:sz="8" w:space="0"/>
              <w:bottom w:val="single" w:color="000000" w:sz="8" w:space="0"/>
              <w:right w:val="single" w:color="000000" w:sz="8" w:space="0"/>
            </w:tcBorders>
            <w:shd w:val="clear"/>
            <w:vAlign w:val="center"/>
          </w:tcPr>
          <w:p w14:paraId="3CE40667">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大学生劳动教育</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12D6819A">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1</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6242596">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4A369ECD">
            <w:pPr>
              <w:jc w:val="center"/>
              <w:rPr>
                <w:rFonts w:ascii="微软雅黑" w:hAnsi="微软雅黑" w:eastAsia="微软雅黑" w:cs="微软雅黑"/>
                <w:color w:val="3F3F3F"/>
                <w:sz w:val="18"/>
                <w:szCs w:val="18"/>
              </w:rPr>
            </w:pPr>
          </w:p>
        </w:tc>
      </w:tr>
      <w:tr w14:paraId="2C0EF51A">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shd w:val="clear"/>
            <w:vAlign w:val="center"/>
          </w:tcPr>
          <w:p w14:paraId="6C125BDE">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8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B5281">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创新创业基础</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2578E646">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2</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E2C518B">
            <w:pPr>
              <w:jc w:val="center"/>
              <w:rPr>
                <w:rFonts w:ascii="微软雅黑" w:hAnsi="微软雅黑" w:eastAsia="微软雅黑" w:cs="微软雅黑"/>
                <w:color w:val="3F3F3F"/>
                <w:sz w:val="18"/>
                <w:szCs w:val="18"/>
              </w:rPr>
            </w:pPr>
          </w:p>
        </w:tc>
        <w:tc>
          <w:tcPr>
            <w:tcW w:w="1223" w:type="dxa"/>
            <w:vMerge w:val="continue"/>
            <w:tcBorders>
              <w:left w:val="single" w:color="000000" w:sz="8" w:space="0"/>
              <w:right w:val="single" w:color="000000" w:sz="8" w:space="0"/>
            </w:tcBorders>
            <w:shd w:val="clear" w:color="auto" w:fill="auto"/>
            <w:vAlign w:val="center"/>
          </w:tcPr>
          <w:p w14:paraId="2A26C2E1">
            <w:pPr>
              <w:jc w:val="center"/>
              <w:rPr>
                <w:rFonts w:ascii="微软雅黑" w:hAnsi="微软雅黑" w:eastAsia="微软雅黑" w:cs="微软雅黑"/>
                <w:color w:val="3F3F3F"/>
                <w:sz w:val="18"/>
                <w:szCs w:val="18"/>
              </w:rPr>
            </w:pPr>
          </w:p>
        </w:tc>
      </w:tr>
      <w:tr w14:paraId="738CF055">
        <w:tblPrEx>
          <w:tblCellMar>
            <w:top w:w="0" w:type="dxa"/>
            <w:left w:w="108" w:type="dxa"/>
            <w:bottom w:w="0" w:type="dxa"/>
            <w:right w:w="108" w:type="dxa"/>
          </w:tblCellMar>
        </w:tblPrEx>
        <w:trPr>
          <w:trHeight w:val="680" w:hRule="exact"/>
        </w:trPr>
        <w:tc>
          <w:tcPr>
            <w:tcW w:w="3265" w:type="dxa"/>
            <w:tcBorders>
              <w:top w:val="single" w:color="000000" w:sz="8" w:space="0"/>
              <w:left w:val="single" w:color="000000" w:sz="8" w:space="0"/>
              <w:bottom w:val="single" w:color="000000" w:sz="8" w:space="0"/>
              <w:right w:val="single" w:color="000000" w:sz="8" w:space="0"/>
            </w:tcBorders>
            <w:shd w:val="clear"/>
            <w:vAlign w:val="center"/>
          </w:tcPr>
          <w:p w14:paraId="5BFB7B85">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877" w:type="dxa"/>
            <w:tcBorders>
              <w:top w:val="single" w:color="000000" w:sz="8" w:space="0"/>
              <w:left w:val="single" w:color="000000" w:sz="8" w:space="0"/>
              <w:bottom w:val="single" w:color="000000" w:sz="8" w:space="0"/>
              <w:right w:val="single" w:color="000000" w:sz="8" w:space="0"/>
            </w:tcBorders>
            <w:shd w:val="clear"/>
            <w:vAlign w:val="center"/>
          </w:tcPr>
          <w:p w14:paraId="58A0D12D">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脑洞大开背后的创新思维</w:t>
            </w:r>
          </w:p>
        </w:tc>
        <w:tc>
          <w:tcPr>
            <w:tcW w:w="1073" w:type="dxa"/>
            <w:tcBorders>
              <w:top w:val="single" w:color="auto" w:sz="4" w:space="0"/>
              <w:left w:val="single" w:color="000000" w:sz="8" w:space="0"/>
              <w:bottom w:val="single" w:color="auto" w:sz="4" w:space="0"/>
              <w:right w:val="single" w:color="000000" w:sz="8" w:space="0"/>
            </w:tcBorders>
            <w:shd w:val="clear" w:color="auto" w:fill="auto"/>
            <w:vAlign w:val="center"/>
          </w:tcPr>
          <w:p w14:paraId="36431D17">
            <w:pPr>
              <w:jc w:val="center"/>
              <w:rPr>
                <w:rFonts w:hint="eastAsia" w:ascii="微软雅黑" w:hAnsi="微软雅黑" w:eastAsia="微软雅黑" w:cs="微软雅黑"/>
                <w:color w:val="3F3F3F"/>
                <w:sz w:val="18"/>
                <w:szCs w:val="18"/>
                <w:lang w:val="en-US" w:eastAsia="zh-CN"/>
              </w:rPr>
            </w:pPr>
            <w:r>
              <w:rPr>
                <w:rFonts w:hint="eastAsia" w:ascii="微软雅黑" w:hAnsi="微软雅黑" w:eastAsia="微软雅黑" w:cs="微软雅黑"/>
                <w:color w:val="3F3F3F"/>
                <w:sz w:val="18"/>
                <w:szCs w:val="18"/>
                <w:lang w:val="en-US" w:eastAsia="zh-CN"/>
              </w:rPr>
              <w:t>2</w:t>
            </w:r>
          </w:p>
        </w:tc>
        <w:tc>
          <w:tcPr>
            <w:tcW w:w="112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03FF729">
            <w:pPr>
              <w:jc w:val="center"/>
              <w:rPr>
                <w:rFonts w:ascii="微软雅黑" w:hAnsi="微软雅黑" w:eastAsia="微软雅黑" w:cs="微软雅黑"/>
                <w:color w:val="3F3F3F"/>
                <w:sz w:val="18"/>
                <w:szCs w:val="18"/>
              </w:rPr>
            </w:pPr>
          </w:p>
        </w:tc>
        <w:tc>
          <w:tcPr>
            <w:tcW w:w="1223" w:type="dxa"/>
            <w:vMerge w:val="continue"/>
            <w:tcBorders>
              <w:left w:val="single" w:color="000000" w:sz="8" w:space="0"/>
              <w:bottom w:val="single" w:color="000000" w:sz="8" w:space="0"/>
              <w:right w:val="single" w:color="000000" w:sz="8" w:space="0"/>
            </w:tcBorders>
            <w:shd w:val="clear" w:color="auto" w:fill="auto"/>
            <w:vAlign w:val="center"/>
          </w:tcPr>
          <w:p w14:paraId="4BE88444">
            <w:pPr>
              <w:jc w:val="center"/>
              <w:rPr>
                <w:rFonts w:ascii="微软雅黑" w:hAnsi="微软雅黑" w:eastAsia="微软雅黑" w:cs="微软雅黑"/>
                <w:color w:val="3F3F3F"/>
                <w:sz w:val="18"/>
                <w:szCs w:val="18"/>
              </w:rPr>
            </w:pPr>
          </w:p>
        </w:tc>
      </w:tr>
    </w:tbl>
    <w:p w14:paraId="230A70C4">
      <w:pPr>
        <w:rPr>
          <w:rFonts w:ascii="微软雅黑" w:hAnsi="微软雅黑" w:eastAsia="微软雅黑" w:cs="宋体"/>
          <w:color w:val="3F3F3F"/>
          <w:spacing w:val="8"/>
          <w:kern w:val="0"/>
          <w:sz w:val="24"/>
          <w:szCs w:val="24"/>
        </w:rPr>
      </w:pPr>
    </w:p>
    <w:p w14:paraId="0D316CE1">
      <w:pPr>
        <w:rPr>
          <w:rFonts w:hint="eastAsia" w:ascii="微软雅黑" w:hAnsi="微软雅黑" w:eastAsia="微软雅黑" w:cs="宋体"/>
          <w:color w:val="3F3F3F"/>
          <w:spacing w:val="8"/>
          <w:kern w:val="0"/>
          <w:sz w:val="24"/>
          <w:szCs w:val="24"/>
        </w:rPr>
      </w:pPr>
    </w:p>
    <w:p w14:paraId="1373E7A2">
      <w:pPr>
        <w:rPr>
          <w:rFonts w:hint="eastAsia" w:ascii="微软雅黑" w:hAnsi="微软雅黑" w:eastAsia="微软雅黑" w:cs="宋体"/>
          <w:color w:val="3F3F3F"/>
          <w:spacing w:val="8"/>
          <w:kern w:val="0"/>
          <w:sz w:val="24"/>
          <w:szCs w:val="24"/>
        </w:rPr>
      </w:pPr>
    </w:p>
    <w:p w14:paraId="03E95BF9">
      <w:pPr>
        <w:pStyle w:val="2"/>
        <w:pageBreakBefore w:val="0"/>
        <w:kinsoku/>
        <w:wordWrap/>
        <w:overflowPunct/>
        <w:topLinePunct w:val="0"/>
        <w:autoSpaceDE/>
        <w:autoSpaceDN/>
        <w:bidi w:val="0"/>
        <w:adjustRightInd/>
        <w:spacing w:before="0" w:after="0" w:line="340" w:lineRule="exact"/>
        <w:ind w:firstLine="420" w:firstLineChars="0"/>
        <w:rPr>
          <w:rFonts w:hint="default" w:ascii="Times New Roman" w:hAnsi="Times New Roman" w:cs="Times New Roman" w:eastAsiaTheme="minorEastAsia"/>
          <w:b/>
          <w:bCs w:val="0"/>
          <w:sz w:val="24"/>
          <w:szCs w:val="24"/>
          <w:lang w:val="en-US" w:eastAsia="zh-CN"/>
        </w:rPr>
      </w:pPr>
      <w:bookmarkStart w:id="0" w:name="_Toc26913"/>
      <w:bookmarkStart w:id="1" w:name="_Toc29937"/>
      <w:r>
        <w:rPr>
          <w:rFonts w:hint="default" w:ascii="Times New Roman" w:hAnsi="Times New Roman" w:cs="Times New Roman" w:eastAsiaTheme="minorEastAsia"/>
          <w:b/>
          <w:bCs w:val="0"/>
          <w:sz w:val="24"/>
          <w:szCs w:val="24"/>
          <w:lang w:val="en-US" w:eastAsia="zh-CN"/>
        </w:rPr>
        <w:t>1</w:t>
      </w:r>
      <w:r>
        <w:rPr>
          <w:rFonts w:hint="default" w:ascii="Times New Roman" w:hAnsi="Times New Roman" w:cs="Times New Roman" w:eastAsiaTheme="minorEastAsia"/>
          <w:b/>
          <w:bCs w:val="0"/>
          <w:sz w:val="24"/>
          <w:szCs w:val="24"/>
        </w:rPr>
        <w:t>.</w:t>
      </w:r>
      <w:r>
        <w:rPr>
          <w:rFonts w:hint="default" w:ascii="Times New Roman" w:hAnsi="Times New Roman" w:cs="Times New Roman" w:eastAsiaTheme="minorEastAsia"/>
          <w:b/>
          <w:bCs w:val="0"/>
          <w:sz w:val="24"/>
          <w:szCs w:val="24"/>
          <w:lang w:val="en-US" w:eastAsia="zh-CN"/>
        </w:rPr>
        <w:t>大学生健康教育</w:t>
      </w:r>
    </w:p>
    <w:p w14:paraId="7D96EB73">
      <w:pPr>
        <w:pStyle w:val="19"/>
        <w:pageBreakBefore w:val="0"/>
        <w:widowControl w:val="0"/>
        <w:kinsoku/>
        <w:wordWrap/>
        <w:overflowPunct/>
        <w:topLinePunct w:val="0"/>
        <w:autoSpaceDE/>
        <w:autoSpaceDN/>
        <w:bidi w:val="0"/>
        <w:adjustRightInd/>
        <w:spacing w:line="340" w:lineRule="exact"/>
        <w:ind w:firstLine="482" w:firstLineChars="200"/>
        <w:rPr>
          <w:rFonts w:hint="eastAsia" w:ascii="Times New Roman" w:hAnsi="Times New Roman" w:cs="Times New Roman" w:eastAsiaTheme="minorEastAsia"/>
          <w:color w:val="000000"/>
          <w:sz w:val="24"/>
          <w:szCs w:val="24"/>
          <w:lang w:eastAsia="zh-CN"/>
        </w:rPr>
      </w:pPr>
      <w:r>
        <w:rPr>
          <w:rFonts w:hint="eastAsia" w:ascii="Times New Roman" w:hAnsi="Times New Roman" w:cs="Times New Roman"/>
          <w:color w:val="000000"/>
          <w:sz w:val="24"/>
          <w:szCs w:val="24"/>
          <w:lang w:eastAsia="zh-CN"/>
        </w:rPr>
        <w:t>课程简介:</w:t>
      </w:r>
    </w:p>
    <w:p w14:paraId="24412FBE">
      <w:pPr>
        <w:pageBreakBefore w:val="0"/>
        <w:kinsoku/>
        <w:wordWrap/>
        <w:overflowPunct/>
        <w:topLinePunct w:val="0"/>
        <w:autoSpaceDE/>
        <w:autoSpaceDN/>
        <w:bidi w:val="0"/>
        <w:adjustRightInd/>
        <w:spacing w:line="340" w:lineRule="exact"/>
        <w:ind w:firstLine="420" w:firstLineChars="0"/>
        <w:rPr>
          <w:rFonts w:hint="default"/>
          <w:sz w:val="24"/>
          <w:szCs w:val="24"/>
          <w:lang w:val="en-US" w:eastAsia="zh-CN"/>
        </w:rPr>
      </w:pPr>
      <w:r>
        <w:rPr>
          <w:rFonts w:hint="default"/>
          <w:sz w:val="24"/>
          <w:szCs w:val="24"/>
          <w:lang w:val="en-US" w:eastAsia="zh-CN"/>
        </w:rPr>
        <w:t>什么是“亚健康”状态？熬夜为何会让你变得如此脆弱？患上手机依赖症怎么办？如何从失恋的痛苦深渊中逃离？遇到突发情况如何正确避险与自救？“大学生健康教育”课程从生理到心理、从习惯养成到疾病预防等多角度培养大学生的健康意识、知识与技能，贯彻落实《“健康中国2030”规划纲要》，推广健康生活理念、践行健康中国战略。</w:t>
      </w:r>
    </w:p>
    <w:p w14:paraId="4799A4BC">
      <w:pPr>
        <w:pageBreakBefore w:val="0"/>
        <w:kinsoku/>
        <w:wordWrap/>
        <w:overflowPunct/>
        <w:topLinePunct w:val="0"/>
        <w:autoSpaceDE/>
        <w:autoSpaceDN/>
        <w:bidi w:val="0"/>
        <w:adjustRightInd/>
        <w:spacing w:line="340" w:lineRule="exact"/>
        <w:ind w:firstLine="420" w:firstLineChars="0"/>
        <w:rPr>
          <w:rFonts w:hint="default"/>
          <w:sz w:val="24"/>
          <w:szCs w:val="24"/>
          <w:lang w:val="en-US" w:eastAsia="zh-CN"/>
        </w:rPr>
      </w:pPr>
    </w:p>
    <w:p w14:paraId="23899ED6">
      <w:pPr>
        <w:pageBreakBefore w:val="0"/>
        <w:kinsoku/>
        <w:wordWrap/>
        <w:overflowPunct/>
        <w:topLinePunct w:val="0"/>
        <w:autoSpaceDE/>
        <w:autoSpaceDN/>
        <w:bidi w:val="0"/>
        <w:adjustRightInd/>
        <w:spacing w:line="340" w:lineRule="exact"/>
        <w:ind w:firstLine="420" w:firstLineChars="0"/>
        <w:rPr>
          <w:rFonts w:hint="eastAsia"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2.国家安全教育</w:t>
      </w:r>
    </w:p>
    <w:p w14:paraId="6DA7A280">
      <w:pPr>
        <w:pStyle w:val="19"/>
        <w:pageBreakBefore w:val="0"/>
        <w:widowControl w:val="0"/>
        <w:kinsoku/>
        <w:wordWrap/>
        <w:overflowPunct/>
        <w:topLinePunct w:val="0"/>
        <w:autoSpaceDE/>
        <w:autoSpaceDN/>
        <w:bidi w:val="0"/>
        <w:adjustRightInd/>
        <w:spacing w:line="340" w:lineRule="exact"/>
        <w:ind w:firstLine="482" w:firstLineChars="200"/>
        <w:rPr>
          <w:rFonts w:hint="eastAsia" w:ascii="Times New Roman" w:hAnsi="Times New Roman" w:cs="Times New Roman" w:eastAsiaTheme="minorEastAsia"/>
          <w:color w:val="000000"/>
          <w:sz w:val="24"/>
          <w:szCs w:val="24"/>
          <w:lang w:eastAsia="zh-CN"/>
        </w:rPr>
      </w:pPr>
      <w:r>
        <w:rPr>
          <w:rFonts w:hint="eastAsia" w:ascii="Times New Roman" w:hAnsi="Times New Roman" w:cs="Times New Roman"/>
          <w:color w:val="000000"/>
          <w:sz w:val="24"/>
          <w:szCs w:val="24"/>
          <w:lang w:eastAsia="zh-CN"/>
        </w:rPr>
        <w:t>课程简介:</w:t>
      </w:r>
    </w:p>
    <w:p w14:paraId="0802A3AD">
      <w:pPr>
        <w:pageBreakBefore w:val="0"/>
        <w:kinsoku/>
        <w:wordWrap/>
        <w:overflowPunct/>
        <w:topLinePunct w:val="0"/>
        <w:autoSpaceDE/>
        <w:autoSpaceDN/>
        <w:bidi w:val="0"/>
        <w:adjustRightInd/>
        <w:spacing w:line="340" w:lineRule="exact"/>
        <w:ind w:firstLine="420" w:firstLineChars="0"/>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本课程严格依照马克思主义理论研究和建设工程的重点教材《国家安全教育大学生读本》开发，全面系统阐释总体国家安全观，引导学生系统把握总体国家安全观，筑牢国家安全底线思维，将国家安全意识内化为行为自觉。</w:t>
      </w:r>
    </w:p>
    <w:p w14:paraId="285A6B74">
      <w:pPr>
        <w:pageBreakBefore w:val="0"/>
        <w:kinsoku/>
        <w:wordWrap/>
        <w:overflowPunct/>
        <w:topLinePunct w:val="0"/>
        <w:autoSpaceDE/>
        <w:autoSpaceDN/>
        <w:bidi w:val="0"/>
        <w:adjustRightInd/>
        <w:spacing w:line="340" w:lineRule="exact"/>
        <w:ind w:firstLine="420" w:firstLineChars="0"/>
        <w:rPr>
          <w:rFonts w:hint="default" w:ascii="Times New Roman" w:hAnsi="Times New Roman" w:cs="Times New Roman"/>
          <w:b w:val="0"/>
          <w:bCs/>
          <w:sz w:val="24"/>
          <w:szCs w:val="24"/>
          <w:lang w:val="en-US" w:eastAsia="zh-CN"/>
        </w:rPr>
      </w:pPr>
    </w:p>
    <w:p w14:paraId="306919F2">
      <w:pPr>
        <w:pStyle w:val="2"/>
        <w:pageBreakBefore w:val="0"/>
        <w:kinsoku/>
        <w:wordWrap/>
        <w:overflowPunct/>
        <w:topLinePunct w:val="0"/>
        <w:autoSpaceDE/>
        <w:autoSpaceDN/>
        <w:bidi w:val="0"/>
        <w:adjustRightInd/>
        <w:spacing w:before="0" w:after="0" w:line="340" w:lineRule="exact"/>
        <w:ind w:firstLine="420" w:firstLineChars="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eastAsiaTheme="minorEastAsia"/>
          <w:sz w:val="24"/>
          <w:szCs w:val="24"/>
          <w:lang w:val="en-US" w:eastAsia="zh-CN"/>
        </w:rPr>
        <w:t>人工智能安全与伦理</w:t>
      </w:r>
    </w:p>
    <w:p w14:paraId="144B4555">
      <w:pPr>
        <w:pStyle w:val="19"/>
        <w:pageBreakBefore w:val="0"/>
        <w:widowControl w:val="0"/>
        <w:kinsoku/>
        <w:wordWrap/>
        <w:overflowPunct/>
        <w:topLinePunct w:val="0"/>
        <w:autoSpaceDE/>
        <w:autoSpaceDN/>
        <w:bidi w:val="0"/>
        <w:adjustRightInd/>
        <w:spacing w:line="340" w:lineRule="exact"/>
        <w:ind w:firstLine="482" w:firstLineChars="200"/>
        <w:rPr>
          <w:rFonts w:hint="eastAsia" w:ascii="Times New Roman" w:hAnsi="Times New Roman" w:cs="Times New Roman" w:eastAsiaTheme="minorEastAsia"/>
          <w:color w:val="000000"/>
          <w:sz w:val="24"/>
          <w:szCs w:val="24"/>
          <w:lang w:eastAsia="zh-CN"/>
        </w:rPr>
      </w:pPr>
      <w:r>
        <w:rPr>
          <w:rFonts w:hint="eastAsia" w:ascii="Times New Roman" w:hAnsi="Times New Roman" w:cs="Times New Roman"/>
          <w:color w:val="000000"/>
          <w:sz w:val="24"/>
          <w:szCs w:val="24"/>
          <w:lang w:eastAsia="zh-CN"/>
        </w:rPr>
        <w:t>课程简介:</w:t>
      </w:r>
    </w:p>
    <w:p w14:paraId="3F18C905">
      <w:pPr>
        <w:pageBreakBefore w:val="0"/>
        <w:kinsoku/>
        <w:wordWrap/>
        <w:overflowPunct/>
        <w:topLinePunct w:val="0"/>
        <w:autoSpaceDE/>
        <w:autoSpaceDN/>
        <w:bidi w:val="0"/>
        <w:adjustRightInd/>
        <w:spacing w:line="340" w:lineRule="exact"/>
        <w:ind w:firstLine="420" w:firstLineChars="0"/>
        <w:rPr>
          <w:rFonts w:hint="default"/>
          <w:sz w:val="24"/>
          <w:szCs w:val="24"/>
          <w:lang w:val="en-US" w:eastAsia="zh-CN"/>
        </w:rPr>
      </w:pPr>
      <w:r>
        <w:rPr>
          <w:rFonts w:hint="default"/>
          <w:sz w:val="24"/>
          <w:szCs w:val="24"/>
          <w:lang w:val="en-US" w:eastAsia="zh-CN"/>
        </w:rPr>
        <w:t>课程讲授对抗攻击与防御、后门攻防、算法公平性、模型可解释性、隐私保护等核心知识。通过深入剖析数字攻击、物理攻击等多种威胁形式，以及预处理、处理中、后处理等多层防御机制，帮助学生建立完整的AI安全技术体系。同时，课程重点关注算法偏见、数据隐私、决策透明度等伦理议题，探讨如何通过技术手段实现AI的公平性和可解释性。</w:t>
      </w:r>
    </w:p>
    <w:p w14:paraId="3ADB87FF">
      <w:pPr>
        <w:pageBreakBefore w:val="0"/>
        <w:kinsoku/>
        <w:wordWrap/>
        <w:overflowPunct/>
        <w:topLinePunct w:val="0"/>
        <w:autoSpaceDE/>
        <w:autoSpaceDN/>
        <w:bidi w:val="0"/>
        <w:adjustRightInd/>
        <w:spacing w:line="340" w:lineRule="exact"/>
        <w:ind w:firstLine="420" w:firstLineChars="0"/>
        <w:rPr>
          <w:rFonts w:hint="default"/>
          <w:sz w:val="24"/>
          <w:szCs w:val="24"/>
          <w:lang w:val="en-US" w:eastAsia="zh-CN"/>
        </w:rPr>
      </w:pPr>
    </w:p>
    <w:p w14:paraId="4E69D5F0">
      <w:pPr>
        <w:pageBreakBefore w:val="0"/>
        <w:kinsoku/>
        <w:wordWrap/>
        <w:overflowPunct/>
        <w:topLinePunct w:val="0"/>
        <w:autoSpaceDE/>
        <w:autoSpaceDN/>
        <w:bidi w:val="0"/>
        <w:adjustRightInd/>
        <w:spacing w:line="340" w:lineRule="exact"/>
        <w:ind w:firstLine="420" w:firstLineChars="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4.大学计算机与人工智能</w:t>
      </w:r>
    </w:p>
    <w:p w14:paraId="1C3EEC4D">
      <w:pPr>
        <w:pStyle w:val="19"/>
        <w:pageBreakBefore w:val="0"/>
        <w:widowControl w:val="0"/>
        <w:kinsoku/>
        <w:wordWrap/>
        <w:overflowPunct/>
        <w:topLinePunct w:val="0"/>
        <w:autoSpaceDE/>
        <w:autoSpaceDN/>
        <w:bidi w:val="0"/>
        <w:adjustRightInd/>
        <w:spacing w:line="340" w:lineRule="exact"/>
        <w:ind w:firstLine="482" w:firstLineChars="200"/>
        <w:rPr>
          <w:rFonts w:hint="eastAsia" w:ascii="Times New Roman" w:hAnsi="Times New Roman" w:cs="Times New Roman" w:eastAsiaTheme="minorEastAsia"/>
          <w:color w:val="000000"/>
          <w:sz w:val="24"/>
          <w:szCs w:val="24"/>
          <w:lang w:eastAsia="zh-CN"/>
        </w:rPr>
      </w:pPr>
      <w:r>
        <w:rPr>
          <w:rFonts w:hint="eastAsia" w:ascii="Times New Roman" w:hAnsi="Times New Roman" w:cs="Times New Roman"/>
          <w:color w:val="000000"/>
          <w:sz w:val="24"/>
          <w:szCs w:val="24"/>
          <w:lang w:eastAsia="zh-CN"/>
        </w:rPr>
        <w:t>课程简介:</w:t>
      </w:r>
    </w:p>
    <w:p w14:paraId="14E25184">
      <w:pPr>
        <w:pageBreakBefore w:val="0"/>
        <w:kinsoku/>
        <w:wordWrap/>
        <w:overflowPunct/>
        <w:topLinePunct w:val="0"/>
        <w:autoSpaceDE/>
        <w:autoSpaceDN/>
        <w:bidi w:val="0"/>
        <w:adjustRightInd/>
        <w:spacing w:line="340" w:lineRule="exact"/>
        <w:ind w:firstLine="420" w:firstLineChars="0"/>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本课程由西安交通大学崔舒宁副教授主讲。课程内容全面丰富，涵盖计算机硬件组成与软件系统，并专设“走进人工智能”专题模块。通过系统学习，学生将扎实掌握计算机基础与人工智能核心知识，建立对计算机硬件与软件系统的基本认知，初步掌握Python编程技能，了解人工智能技术体系框架，为后续深入学习计算机科学、人工智能等相关专业课程奠定坚实基础。</w:t>
      </w:r>
    </w:p>
    <w:p w14:paraId="1B24F2C3">
      <w:pPr>
        <w:pageBreakBefore w:val="0"/>
        <w:kinsoku/>
        <w:wordWrap/>
        <w:overflowPunct/>
        <w:topLinePunct w:val="0"/>
        <w:autoSpaceDE/>
        <w:autoSpaceDN/>
        <w:bidi w:val="0"/>
        <w:adjustRightInd/>
        <w:spacing w:line="340" w:lineRule="exact"/>
        <w:ind w:firstLine="420" w:firstLineChars="0"/>
        <w:rPr>
          <w:rFonts w:hint="eastAsia" w:ascii="Times New Roman" w:hAnsi="Times New Roman" w:cs="Times New Roman"/>
          <w:b w:val="0"/>
          <w:bCs w:val="0"/>
          <w:sz w:val="24"/>
          <w:szCs w:val="24"/>
          <w:lang w:val="en-US" w:eastAsia="zh-CN"/>
        </w:rPr>
      </w:pPr>
    </w:p>
    <w:p w14:paraId="5D19EE36">
      <w:pPr>
        <w:pageBreakBefore w:val="0"/>
        <w:kinsoku/>
        <w:wordWrap/>
        <w:overflowPunct/>
        <w:topLinePunct w:val="0"/>
        <w:autoSpaceDE/>
        <w:autoSpaceDN/>
        <w:bidi w:val="0"/>
        <w:adjustRightInd/>
        <w:spacing w:line="340" w:lineRule="exact"/>
        <w:ind w:firstLine="420" w:firstLineChars="0"/>
        <w:rPr>
          <w:rFonts w:hint="eastAsia" w:ascii="Times New Roman" w:hAnsi="Times New Roman" w:cs="Times New Roman"/>
          <w:color w:val="000000"/>
          <w:sz w:val="24"/>
          <w:szCs w:val="24"/>
          <w:lang w:eastAsia="zh-CN"/>
        </w:rPr>
      </w:pPr>
      <w:r>
        <w:rPr>
          <w:rFonts w:hint="eastAsia" w:ascii="Times New Roman" w:hAnsi="Times New Roman" w:cs="Times New Roman"/>
          <w:b/>
          <w:bCs/>
          <w:sz w:val="24"/>
          <w:szCs w:val="24"/>
          <w:lang w:val="en-US" w:eastAsia="zh-CN"/>
        </w:rPr>
        <w:t>5.</w:t>
      </w:r>
      <w:bookmarkEnd w:id="0"/>
      <w:bookmarkEnd w:id="1"/>
      <w:bookmarkStart w:id="2" w:name="_Toc27460"/>
      <w:bookmarkStart w:id="3" w:name="_Toc11067303"/>
      <w:bookmarkStart w:id="4" w:name="_Toc20394"/>
      <w:r>
        <w:rPr>
          <w:rFonts w:hint="eastAsia" w:ascii="Times New Roman" w:hAnsi="Times New Roman" w:cs="Times New Roman"/>
          <w:b/>
          <w:bCs/>
          <w:color w:val="000000"/>
          <w:sz w:val="24"/>
          <w:szCs w:val="24"/>
          <w:lang w:eastAsia="zh-CN"/>
        </w:rPr>
        <w:t>大数据导论</w:t>
      </w:r>
    </w:p>
    <w:p w14:paraId="2CC0CBCA">
      <w:pPr>
        <w:pStyle w:val="19"/>
        <w:pageBreakBefore w:val="0"/>
        <w:widowControl w:val="0"/>
        <w:kinsoku/>
        <w:wordWrap/>
        <w:overflowPunct/>
        <w:topLinePunct w:val="0"/>
        <w:autoSpaceDE/>
        <w:autoSpaceDN/>
        <w:bidi w:val="0"/>
        <w:adjustRightInd/>
        <w:spacing w:line="340" w:lineRule="exact"/>
        <w:ind w:firstLine="482" w:firstLineChars="200"/>
        <w:rPr>
          <w:rFonts w:hint="eastAsia"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课程简介</w:t>
      </w:r>
    </w:p>
    <w:p w14:paraId="52CFA2F2">
      <w:pPr>
        <w:pageBreakBefore w:val="0"/>
        <w:kinsoku/>
        <w:wordWrap/>
        <w:overflowPunct/>
        <w:topLinePunct w:val="0"/>
        <w:autoSpaceDE/>
        <w:autoSpaceDN/>
        <w:bidi w:val="0"/>
        <w:adjustRightInd/>
        <w:spacing w:line="340" w:lineRule="exact"/>
        <w:ind w:firstLine="420" w:firstLineChars="0"/>
        <w:rPr>
          <w:rFonts w:hint="default" w:ascii="Times New Roman" w:hAnsi="Times New Roman" w:cs="Times New Roman"/>
          <w:b w:val="0"/>
          <w:bCs/>
          <w:color w:val="000000"/>
          <w:sz w:val="24"/>
          <w:szCs w:val="24"/>
          <w:lang w:val="en-US" w:eastAsia="zh-CN"/>
        </w:rPr>
      </w:pPr>
      <w:r>
        <w:rPr>
          <w:rFonts w:hint="eastAsia" w:ascii="Times New Roman" w:hAnsi="Times New Roman" w:cs="Times New Roman"/>
          <w:b w:val="0"/>
          <w:bCs/>
          <w:color w:val="000000"/>
          <w:sz w:val="24"/>
          <w:szCs w:val="24"/>
          <w:lang w:eastAsia="zh-CN"/>
        </w:rPr>
        <w:t>大数据时代已经全面开启，带来了信息技术发展的巨大变革，并深刻影响着社会生产和人民生活的方方面面。了解大数据概念、具备大数据思维，是新时代对人才的新要求。本课程高屋建瓴探讨大数据，内容深入浅出，简单易懂，适合非计算机专业（尤其是文科专业）学生学习。课程内容包括大数据概述，大数据与云计算、物联网和人工智能，大数据技术，大数据应用，大数据安全，大数据思维，大数据伦理，数据共享，数据开放，大数据交易和大数据治理等。</w:t>
      </w:r>
    </w:p>
    <w:p w14:paraId="22F26A8B">
      <w:pPr>
        <w:pStyle w:val="2"/>
        <w:keepNext w:val="0"/>
        <w:keepLines w:val="0"/>
        <w:pageBreakBefore w:val="0"/>
        <w:kinsoku/>
        <w:wordWrap/>
        <w:overflowPunct/>
        <w:topLinePunct w:val="0"/>
        <w:autoSpaceDE/>
        <w:autoSpaceDN/>
        <w:bidi w:val="0"/>
        <w:adjustRightInd/>
        <w:snapToGrid w:val="0"/>
        <w:spacing w:before="0" w:after="0" w:line="340" w:lineRule="exact"/>
        <w:ind w:firstLine="420" w:firstLineChars="0"/>
        <w:contextualSpacing/>
        <w:jc w:val="left"/>
        <w:rPr>
          <w:rFonts w:hint="default" w:ascii="Times New Roman" w:hAnsi="Times New Roman" w:cs="Times New Roman" w:eastAsiaTheme="minorEastAsia"/>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rPr>
        <w:t>人工智能与信息社会</w:t>
      </w:r>
      <w:bookmarkEnd w:id="2"/>
      <w:bookmarkEnd w:id="3"/>
      <w:bookmarkEnd w:id="4"/>
    </w:p>
    <w:p w14:paraId="24A5672D">
      <w:pPr>
        <w:pStyle w:val="19"/>
        <w:pageBreakBefore w:val="0"/>
        <w:widowControl w:val="0"/>
        <w:kinsoku/>
        <w:wordWrap/>
        <w:overflowPunct/>
        <w:topLinePunct w:val="0"/>
        <w:autoSpaceDE/>
        <w:autoSpaceDN/>
        <w:bidi w:val="0"/>
        <w:adjustRightInd/>
        <w:spacing w:line="340" w:lineRule="exact"/>
        <w:ind w:firstLine="482" w:firstLineChars="200"/>
        <w:rPr>
          <w:rFonts w:hint="eastAsia" w:ascii="Times New Roman" w:hAnsi="Times New Roman" w:cs="Times New Roman" w:eastAsiaTheme="minorEastAsia"/>
          <w:color w:val="000000"/>
          <w:sz w:val="24"/>
          <w:szCs w:val="24"/>
          <w:lang w:eastAsia="zh-CN"/>
        </w:rPr>
      </w:pPr>
      <w:r>
        <w:rPr>
          <w:rFonts w:hint="eastAsia" w:ascii="Times New Roman" w:hAnsi="Times New Roman" w:cs="Times New Roman"/>
          <w:color w:val="000000"/>
          <w:sz w:val="24"/>
          <w:szCs w:val="24"/>
          <w:lang w:eastAsia="zh-CN"/>
        </w:rPr>
        <w:t>课程简介:</w:t>
      </w:r>
    </w:p>
    <w:p w14:paraId="730C7486">
      <w:pPr>
        <w:pageBreakBefore w:val="0"/>
        <w:kinsoku/>
        <w:wordWrap/>
        <w:overflowPunct/>
        <w:topLinePunct w:val="0"/>
        <w:autoSpaceDE/>
        <w:autoSpaceDN/>
        <w:bidi w:val="0"/>
        <w:adjustRightInd/>
        <w:spacing w:line="340" w:lineRule="exact"/>
        <w:ind w:firstLine="480" w:firstLineChars="200"/>
        <w:rPr>
          <w:rFonts w:hint="default" w:ascii="Times New Roman" w:hAnsi="Times New Roman" w:cs="Times New Roman" w:eastAsiaTheme="minorEastAsia"/>
          <w:color w:val="000000"/>
          <w:kern w:val="0"/>
          <w:sz w:val="24"/>
          <w:szCs w:val="24"/>
        </w:rPr>
      </w:pPr>
      <w:r>
        <w:rPr>
          <w:rFonts w:hint="default" w:ascii="Times New Roman" w:hAnsi="Times New Roman" w:cs="Times New Roman" w:eastAsiaTheme="minorEastAsia"/>
          <w:color w:val="000000"/>
          <w:kern w:val="0"/>
          <w:sz w:val="24"/>
          <w:szCs w:val="24"/>
        </w:rPr>
        <w:t>本课程面向大学生和社会公众，结合社会热点和算法实践项目，介绍人工智能技术的基本概念、发展历史、经典算法、应用领域和对人类社会的深远影响，展示信息社会各领域中人工智能的应用发展前景，为大学生和社会公众提供一个深入理解人工智能的入门基础。课程的讲解部分还邀请了微软亚洲研究院的人工智能研究专家，通过访谈形式，展现科学、技术、工程和商业等各个领域的专家对人工智能的理解和体会。课程注重算法实践，通过5个相对独立的人工智能典型应用项目，采用微软和其他开源项目提供的人工智能开发基础设施，结合丰富的应用数据，让学生能经过一段时间的学习，学习到成效显著且生动有趣的人工智能算法应用。</w:t>
      </w:r>
    </w:p>
    <w:p w14:paraId="76167C95">
      <w:pPr>
        <w:pageBreakBefore w:val="0"/>
        <w:widowControl/>
        <w:kinsoku/>
        <w:wordWrap/>
        <w:overflowPunct/>
        <w:topLinePunct w:val="0"/>
        <w:autoSpaceDE/>
        <w:autoSpaceDN/>
        <w:bidi w:val="0"/>
        <w:adjustRightInd/>
        <w:spacing w:line="340" w:lineRule="exact"/>
        <w:ind w:firstLine="482" w:firstLineChars="200"/>
        <w:outlineLvl w:val="2"/>
        <w:rPr>
          <w:rFonts w:hint="default" w:ascii="Times New Roman" w:hAnsi="Times New Roman" w:cs="Times New Roman" w:eastAsiaTheme="minorEastAsia"/>
          <w:b/>
          <w:color w:val="000000"/>
          <w:sz w:val="24"/>
          <w:szCs w:val="24"/>
          <w:lang w:val="en-US" w:eastAsia="zh-CN"/>
        </w:rPr>
      </w:pPr>
      <w:bookmarkStart w:id="5" w:name="_Toc16969"/>
      <w:bookmarkStart w:id="6" w:name="_Toc17023"/>
    </w:p>
    <w:p w14:paraId="311F5746">
      <w:pPr>
        <w:pageBreakBefore w:val="0"/>
        <w:widowControl/>
        <w:kinsoku/>
        <w:wordWrap/>
        <w:overflowPunct/>
        <w:topLinePunct w:val="0"/>
        <w:autoSpaceDE/>
        <w:autoSpaceDN/>
        <w:bidi w:val="0"/>
        <w:adjustRightInd/>
        <w:spacing w:line="340" w:lineRule="exact"/>
        <w:ind w:firstLine="482" w:firstLineChars="200"/>
        <w:outlineLvl w:val="2"/>
        <w:rPr>
          <w:rFonts w:hint="default" w:ascii="Times New Roman" w:hAnsi="Times New Roman" w:cs="Times New Roman" w:eastAsiaTheme="minorEastAsia"/>
          <w:b/>
          <w:color w:val="000000"/>
          <w:sz w:val="24"/>
          <w:szCs w:val="24"/>
          <w:lang w:val="en-US" w:eastAsia="zh-CN"/>
        </w:rPr>
      </w:pPr>
      <w:r>
        <w:rPr>
          <w:rFonts w:hint="eastAsia" w:ascii="Times New Roman" w:hAnsi="Times New Roman" w:cs="Times New Roman"/>
          <w:b/>
          <w:color w:val="000000"/>
          <w:sz w:val="24"/>
          <w:szCs w:val="24"/>
          <w:lang w:val="en-US" w:eastAsia="zh-CN"/>
        </w:rPr>
        <w:t>7</w:t>
      </w:r>
      <w:r>
        <w:rPr>
          <w:rFonts w:hint="default" w:ascii="Times New Roman" w:hAnsi="Times New Roman" w:cs="Times New Roman" w:eastAsiaTheme="minorEastAsia"/>
          <w:b/>
          <w:color w:val="000000"/>
          <w:sz w:val="24"/>
          <w:szCs w:val="24"/>
          <w:lang w:val="en-US" w:eastAsia="zh-CN"/>
        </w:rPr>
        <w:t>.生成式人工智能原理及其影响和应用</w:t>
      </w:r>
      <w:bookmarkEnd w:id="5"/>
      <w:bookmarkEnd w:id="6"/>
    </w:p>
    <w:p w14:paraId="5FF733E7">
      <w:pPr>
        <w:pageBreakBefore w:val="0"/>
        <w:widowControl/>
        <w:kinsoku/>
        <w:wordWrap/>
        <w:overflowPunct/>
        <w:topLinePunct w:val="0"/>
        <w:autoSpaceDE/>
        <w:autoSpaceDN/>
        <w:bidi w:val="0"/>
        <w:adjustRightInd/>
        <w:spacing w:line="340" w:lineRule="exact"/>
        <w:ind w:firstLine="482" w:firstLineChars="200"/>
        <w:rPr>
          <w:rFonts w:hint="default" w:ascii="Times New Roman" w:hAnsi="Times New Roman" w:cs="Times New Roman" w:eastAsiaTheme="minorEastAsia"/>
          <w:b/>
          <w:bCs w:val="0"/>
          <w:color w:val="000000"/>
          <w:sz w:val="24"/>
          <w:szCs w:val="24"/>
          <w:lang w:val="en-US" w:eastAsia="zh-CN"/>
        </w:rPr>
      </w:pPr>
      <w:r>
        <w:rPr>
          <w:rFonts w:hint="eastAsia" w:ascii="Times New Roman" w:hAnsi="Times New Roman" w:cs="Times New Roman"/>
          <w:b/>
          <w:bCs w:val="0"/>
          <w:color w:val="000000"/>
          <w:sz w:val="24"/>
          <w:szCs w:val="24"/>
          <w:lang w:val="en-US" w:eastAsia="zh-CN"/>
        </w:rPr>
        <w:t>课程简介:</w:t>
      </w:r>
    </w:p>
    <w:p w14:paraId="37C6C388">
      <w:pPr>
        <w:pageBreakBefore w:val="0"/>
        <w:kinsoku/>
        <w:wordWrap/>
        <w:overflowPunct/>
        <w:topLinePunct w:val="0"/>
        <w:autoSpaceDE/>
        <w:autoSpaceDN/>
        <w:bidi w:val="0"/>
        <w:adjustRightInd/>
        <w:spacing w:line="340" w:lineRule="exact"/>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课程围绕生成式人工智能的发展和影响以及大语言模型的原理及应用展开。旨在帮助学生形成对于以ChatGPT为代表的生成式AI大模型的正确认识，了解其背后的科学原理、范式和规律。使学生了解当前可用的生成式A大模型工具（例如文心一言、讯飞星火等），并能够运用相关工具，结合自身需要，完成基本的应用案例。</w:t>
      </w:r>
    </w:p>
    <w:p w14:paraId="0A491010">
      <w:pPr>
        <w:pStyle w:val="2"/>
        <w:keepNext w:val="0"/>
        <w:keepLines w:val="0"/>
        <w:pageBreakBefore w:val="0"/>
        <w:kinsoku/>
        <w:wordWrap/>
        <w:overflowPunct/>
        <w:topLinePunct w:val="0"/>
        <w:autoSpaceDE/>
        <w:autoSpaceDN/>
        <w:bidi w:val="0"/>
        <w:adjustRightInd/>
        <w:snapToGrid w:val="0"/>
        <w:spacing w:before="0" w:after="0" w:line="340" w:lineRule="exact"/>
        <w:ind w:firstLine="482" w:firstLineChars="200"/>
        <w:contextualSpacing/>
        <w:jc w:val="left"/>
        <w:rPr>
          <w:rFonts w:hint="default" w:ascii="Times New Roman" w:hAnsi="Times New Roman" w:cs="Times New Roman" w:eastAsiaTheme="minorEastAsia"/>
          <w:sz w:val="24"/>
          <w:szCs w:val="24"/>
          <w:lang w:val="en-US" w:eastAsia="zh-CN"/>
        </w:rPr>
      </w:pPr>
      <w:bookmarkStart w:id="7" w:name="_Toc21484"/>
    </w:p>
    <w:p w14:paraId="260FE476">
      <w:pPr>
        <w:pStyle w:val="2"/>
        <w:keepNext w:val="0"/>
        <w:keepLines w:val="0"/>
        <w:pageBreakBefore w:val="0"/>
        <w:kinsoku/>
        <w:wordWrap/>
        <w:overflowPunct/>
        <w:topLinePunct w:val="0"/>
        <w:autoSpaceDE/>
        <w:autoSpaceDN/>
        <w:bidi w:val="0"/>
        <w:adjustRightInd/>
        <w:snapToGrid w:val="0"/>
        <w:spacing w:before="0" w:after="0" w:line="340" w:lineRule="exact"/>
        <w:ind w:firstLine="482" w:firstLineChars="200"/>
        <w:contextualSpacing/>
        <w:jc w:val="left"/>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8</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智驭未来：AI工具辅助高效学习与科研</w:t>
      </w:r>
      <w:bookmarkEnd w:id="7"/>
    </w:p>
    <w:p w14:paraId="26C5C9CD">
      <w:pPr>
        <w:pageBreakBefore w:val="0"/>
        <w:kinsoku/>
        <w:wordWrap/>
        <w:overflowPunct/>
        <w:topLinePunct w:val="0"/>
        <w:autoSpaceDE/>
        <w:autoSpaceDN/>
        <w:bidi w:val="0"/>
        <w:adjustRightInd/>
        <w:spacing w:line="340" w:lineRule="exact"/>
        <w:ind w:firstLine="482" w:firstLineChars="200"/>
        <w:rPr>
          <w:rFonts w:hint="eastAsia" w:ascii="Times New Roman" w:hAnsi="Times New Roman" w:cs="Times New Roman" w:eastAsiaTheme="minorEastAsia"/>
          <w:b/>
          <w:bCs w:val="0"/>
          <w:sz w:val="24"/>
          <w:szCs w:val="24"/>
          <w:lang w:eastAsia="zh-CN"/>
        </w:rPr>
      </w:pPr>
      <w:r>
        <w:rPr>
          <w:rFonts w:hint="eastAsia" w:ascii="Times New Roman" w:hAnsi="Times New Roman" w:cs="Times New Roman"/>
          <w:b/>
          <w:bCs w:val="0"/>
          <w:sz w:val="24"/>
          <w:szCs w:val="24"/>
          <w:lang w:eastAsia="zh-CN"/>
        </w:rPr>
        <w:t>课程简介:</w:t>
      </w:r>
    </w:p>
    <w:p w14:paraId="163DC7EF">
      <w:pPr>
        <w:pageBreakBefore w:val="0"/>
        <w:kinsoku/>
        <w:wordWrap/>
        <w:overflowPunct/>
        <w:topLinePunct w:val="0"/>
        <w:autoSpaceDE/>
        <w:autoSpaceDN/>
        <w:bidi w:val="0"/>
        <w:adjustRightInd/>
        <w:spacing w:line="340" w:lineRule="exact"/>
        <w:ind w:firstLine="480" w:firstLineChars="200"/>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在这个快速发展的人工智能时代，AI技术已成为科研、学习、艺术创作等多个领域的重要工具。本课程旨在深度介绍如何运用大型语言对话模型和其他先进AI工具，以提升学生的学习效率和科研能力。</w:t>
      </w:r>
    </w:p>
    <w:p w14:paraId="4EBD1637">
      <w:pPr>
        <w:pageBreakBefore w:val="0"/>
        <w:kinsoku/>
        <w:wordWrap/>
        <w:overflowPunct/>
        <w:topLinePunct w:val="0"/>
        <w:autoSpaceDE/>
        <w:autoSpaceDN/>
        <w:bidi w:val="0"/>
        <w:adjustRightInd/>
        <w:spacing w:line="340" w:lineRule="exact"/>
        <w:ind w:firstLine="480" w:firstLineChars="200"/>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通过本课程的学习，学生将学会利用ChatGPT定制个性化的AI学习助教，并掌握Scispace、NotebookLM、Kimi Chat、秘塔AI搜索、智谱清言等AI工具在资料检索、论文翻译、学术写作、文献综述、数据分析和知识管理方面的应用。同时，学生将掌握一系列AI创作工具的使用技巧，以高效实现创意与内容生成。通过本课程的学习，学生将能够掌握一系列AI工具，助力学习与科研，实现掌握AI，驾驭未来。</w:t>
      </w:r>
    </w:p>
    <w:p w14:paraId="18B3BBA5">
      <w:pPr>
        <w:pStyle w:val="2"/>
        <w:keepNext w:val="0"/>
        <w:keepLines w:val="0"/>
        <w:pageBreakBefore w:val="0"/>
        <w:kinsoku/>
        <w:wordWrap/>
        <w:overflowPunct/>
        <w:topLinePunct w:val="0"/>
        <w:autoSpaceDE/>
        <w:autoSpaceDN/>
        <w:bidi w:val="0"/>
        <w:adjustRightInd/>
        <w:snapToGrid w:val="0"/>
        <w:spacing w:before="0" w:after="0" w:line="340" w:lineRule="exact"/>
        <w:ind w:firstLine="482" w:firstLineChars="200"/>
        <w:contextualSpacing/>
        <w:jc w:val="left"/>
        <w:rPr>
          <w:rFonts w:hint="default" w:ascii="Times New Roman" w:hAnsi="Times New Roman" w:cs="Times New Roman" w:eastAsiaTheme="minorEastAsia"/>
          <w:sz w:val="24"/>
          <w:szCs w:val="24"/>
          <w:lang w:val="en-US" w:eastAsia="zh-CN"/>
        </w:rPr>
      </w:pPr>
      <w:bookmarkStart w:id="8" w:name="_Toc9970"/>
      <w:bookmarkStart w:id="9" w:name="_Toc29881"/>
    </w:p>
    <w:p w14:paraId="1B28E470">
      <w:pPr>
        <w:pageBreakBefore w:val="0"/>
        <w:kinsoku/>
        <w:wordWrap/>
        <w:overflowPunct/>
        <w:topLinePunct w:val="0"/>
        <w:autoSpaceDE/>
        <w:autoSpaceDN/>
        <w:bidi w:val="0"/>
        <w:adjustRightInd/>
        <w:spacing w:line="340" w:lineRule="exact"/>
        <w:ind w:firstLine="420" w:firstLineChars="0"/>
        <w:rPr>
          <w:rFonts w:hint="default" w:ascii="Times New Roman" w:hAnsi="Times New Roman" w:cs="Times New Roman" w:eastAsiaTheme="minorEastAsia"/>
          <w:b/>
          <w:kern w:val="0"/>
          <w:sz w:val="24"/>
          <w:szCs w:val="24"/>
          <w:lang w:val="en-US" w:eastAsia="zh-CN" w:bidi="ar-SA"/>
        </w:rPr>
      </w:pPr>
      <w:r>
        <w:rPr>
          <w:rFonts w:hint="eastAsia" w:ascii="Times New Roman" w:hAnsi="Times New Roman" w:cs="Times New Roman" w:eastAsiaTheme="minorEastAsia"/>
          <w:b/>
          <w:kern w:val="0"/>
          <w:sz w:val="24"/>
          <w:szCs w:val="24"/>
          <w:lang w:val="en-US" w:eastAsia="zh-CN" w:bidi="ar-SA"/>
        </w:rPr>
        <w:t>9.</w:t>
      </w:r>
      <w:r>
        <w:rPr>
          <w:rFonts w:hint="default" w:ascii="Times New Roman" w:hAnsi="Times New Roman" w:cs="Times New Roman" w:eastAsiaTheme="minorEastAsia"/>
          <w:b/>
          <w:kern w:val="0"/>
          <w:sz w:val="24"/>
          <w:szCs w:val="24"/>
          <w:lang w:val="en-US" w:eastAsia="zh-CN" w:bidi="ar-SA"/>
        </w:rPr>
        <w:t>走进人工智能</w:t>
      </w:r>
      <w:bookmarkEnd w:id="8"/>
      <w:bookmarkEnd w:id="9"/>
      <w:bookmarkStart w:id="10" w:name="_Toc24050"/>
      <w:bookmarkStart w:id="11" w:name="_Toc26778"/>
    </w:p>
    <w:p w14:paraId="4D317C56">
      <w:pPr>
        <w:pStyle w:val="19"/>
        <w:pageBreakBefore w:val="0"/>
        <w:widowControl w:val="0"/>
        <w:kinsoku/>
        <w:wordWrap/>
        <w:overflowPunct/>
        <w:topLinePunct w:val="0"/>
        <w:autoSpaceDE/>
        <w:autoSpaceDN/>
        <w:bidi w:val="0"/>
        <w:adjustRightInd/>
        <w:spacing w:line="340" w:lineRule="exact"/>
        <w:ind w:firstLine="482" w:firstLineChars="200"/>
        <w:rPr>
          <w:rFonts w:hint="eastAsia" w:ascii="Times New Roman" w:hAnsi="Times New Roman" w:cs="Times New Roman" w:eastAsiaTheme="minorEastAsia"/>
          <w:color w:val="000000"/>
          <w:sz w:val="24"/>
          <w:szCs w:val="24"/>
          <w:lang w:eastAsia="zh-CN"/>
        </w:rPr>
      </w:pPr>
      <w:r>
        <w:rPr>
          <w:rFonts w:hint="eastAsia" w:ascii="Times New Roman" w:hAnsi="Times New Roman" w:cs="Times New Roman"/>
          <w:color w:val="000000"/>
          <w:sz w:val="24"/>
          <w:szCs w:val="24"/>
          <w:lang w:eastAsia="zh-CN"/>
        </w:rPr>
        <w:t>课程简介:</w:t>
      </w:r>
    </w:p>
    <w:p w14:paraId="4C67E5A5">
      <w:pPr>
        <w:pageBreakBefore w:val="0"/>
        <w:kinsoku/>
        <w:wordWrap/>
        <w:overflowPunct/>
        <w:topLinePunct w:val="0"/>
        <w:autoSpaceDE/>
        <w:autoSpaceDN/>
        <w:bidi w:val="0"/>
        <w:adjustRightInd/>
        <w:spacing w:line="340" w:lineRule="exact"/>
        <w:ind w:firstLine="420" w:firstLineChars="0"/>
        <w:rPr>
          <w:rFonts w:hint="eastAsia" w:ascii="Times New Roman" w:hAnsi="Times New Roman" w:cs="Times New Roman" w:eastAsiaTheme="minorEastAsia"/>
          <w:b w:val="0"/>
          <w:bCs/>
          <w:kern w:val="0"/>
          <w:sz w:val="24"/>
          <w:szCs w:val="24"/>
          <w:lang w:val="en-US" w:eastAsia="zh-CN" w:bidi="ar-SA"/>
        </w:rPr>
      </w:pPr>
      <w:r>
        <w:rPr>
          <w:rFonts w:hint="eastAsia" w:ascii="Times New Roman" w:hAnsi="Times New Roman" w:cs="Times New Roman" w:eastAsiaTheme="minorEastAsia"/>
          <w:b w:val="0"/>
          <w:bCs/>
          <w:kern w:val="0"/>
          <w:sz w:val="24"/>
          <w:szCs w:val="24"/>
          <w:lang w:val="en-US" w:eastAsia="zh-CN" w:bidi="ar-SA"/>
        </w:rPr>
        <w:t>《走进人工智能》课程结合实操案例，系统讲解了人工智能的发展历史、技术原理、行业现状和未来趋势，帮助学生轻松学懂人工智能技术，搭建起完整的人工智能知识体系，掌握人工智能解决问题的思维方法，培养学生跨领域解决问题和创新的能力。</w:t>
      </w:r>
    </w:p>
    <w:p w14:paraId="324D58A1">
      <w:pPr>
        <w:pageBreakBefore w:val="0"/>
        <w:kinsoku/>
        <w:wordWrap/>
        <w:overflowPunct/>
        <w:topLinePunct w:val="0"/>
        <w:autoSpaceDE/>
        <w:autoSpaceDN/>
        <w:bidi w:val="0"/>
        <w:adjustRightInd/>
        <w:spacing w:line="340" w:lineRule="exact"/>
        <w:ind w:firstLine="420" w:firstLineChars="0"/>
        <w:rPr>
          <w:rFonts w:hint="eastAsia" w:ascii="Times New Roman" w:hAnsi="Times New Roman" w:cs="Times New Roman" w:eastAsiaTheme="minorEastAsia"/>
          <w:b w:val="0"/>
          <w:bCs/>
          <w:kern w:val="0"/>
          <w:sz w:val="24"/>
          <w:szCs w:val="24"/>
          <w:lang w:val="en-US" w:eastAsia="zh-CN" w:bidi="ar-SA"/>
        </w:rPr>
      </w:pPr>
    </w:p>
    <w:p w14:paraId="0AF1A724">
      <w:pPr>
        <w:pStyle w:val="2"/>
        <w:pageBreakBefore w:val="0"/>
        <w:kinsoku/>
        <w:wordWrap/>
        <w:overflowPunct/>
        <w:topLinePunct w:val="0"/>
        <w:autoSpaceDE/>
        <w:autoSpaceDN/>
        <w:bidi w:val="0"/>
        <w:adjustRightInd/>
        <w:spacing w:before="0" w:after="0" w:line="340" w:lineRule="exact"/>
        <w:ind w:firstLine="420" w:firstLineChars="0"/>
        <w:rPr>
          <w:rFonts w:hint="default" w:ascii="Times New Roman" w:hAnsi="Times New Roman" w:cs="Times New Roman" w:eastAsiaTheme="minorEastAsia"/>
          <w:sz w:val="24"/>
          <w:szCs w:val="24"/>
        </w:rPr>
      </w:pPr>
      <w:r>
        <w:rPr>
          <w:rFonts w:hint="eastAsia" w:ascii="Times New Roman" w:hAnsi="Times New Roman" w:cs="Times New Roman"/>
          <w:sz w:val="24"/>
          <w:szCs w:val="24"/>
          <w:lang w:val="en-US" w:eastAsia="zh-CN"/>
        </w:rPr>
        <w:t>10</w:t>
      </w:r>
      <w:r>
        <w:rPr>
          <w:rFonts w:hint="default" w:ascii="Times New Roman" w:hAnsi="Times New Roman" w:cs="Times New Roman" w:eastAsiaTheme="minorEastAsia"/>
          <w:sz w:val="24"/>
          <w:szCs w:val="24"/>
        </w:rPr>
        <w:t>.大学美育（同济大学版）</w:t>
      </w:r>
      <w:bookmarkEnd w:id="10"/>
      <w:bookmarkEnd w:id="11"/>
    </w:p>
    <w:p w14:paraId="788618A6">
      <w:pPr>
        <w:pageBreakBefore w:val="0"/>
        <w:kinsoku/>
        <w:wordWrap/>
        <w:overflowPunct/>
        <w:topLinePunct w:val="0"/>
        <w:autoSpaceDE/>
        <w:autoSpaceDN/>
        <w:bidi w:val="0"/>
        <w:adjustRightInd/>
        <w:spacing w:line="340" w:lineRule="exact"/>
        <w:ind w:firstLine="482" w:firstLineChars="200"/>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eastAsia="zh-CN"/>
        </w:rPr>
        <w:t>课程简介:</w:t>
      </w:r>
    </w:p>
    <w:p w14:paraId="7A6C4284">
      <w:pPr>
        <w:pageBreakBefore w:val="0"/>
        <w:kinsoku/>
        <w:wordWrap/>
        <w:overflowPunct/>
        <w:topLinePunct w:val="0"/>
        <w:autoSpaceDE/>
        <w:autoSpaceDN/>
        <w:bidi w:val="0"/>
        <w:adjustRightInd/>
        <w:spacing w:line="34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美不远人，美育全人！</w:t>
      </w:r>
    </w:p>
    <w:p w14:paraId="44FB7D7F">
      <w:pPr>
        <w:pageBreakBefore w:val="0"/>
        <w:kinsoku/>
        <w:wordWrap/>
        <w:overflowPunct/>
        <w:topLinePunct w:val="0"/>
        <w:autoSpaceDE/>
        <w:autoSpaceDN/>
        <w:bidi w:val="0"/>
        <w:adjustRightInd/>
        <w:spacing w:line="34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美是纯洁道德、丰富精神的重要源泉。美育在培养大学生德、智、体、美、劳全面发展中起到了基础性的作用。大学美育课堂，既是基本的文化艺术知识、艺术技能、美学精神的传授，也要让同学们有欣赏美、体验美的机会，进而不断培养创造美的能力；同时，通过发掘不同学科门类中蕴含的美，更将美的培育与科技工程的创新创造交叉互动；最后，美与人生的成就与幸福紧密相关，美不仅引导“全人教育”的未来走向，也真正让大学生因为这一堂课，在以后的人生中拥有更加丰厚的精神世界。</w:t>
      </w:r>
    </w:p>
    <w:p w14:paraId="55A745DB">
      <w:pPr>
        <w:pageBreakBefore w:val="0"/>
        <w:kinsoku/>
        <w:wordWrap/>
        <w:overflowPunct/>
        <w:topLinePunct w:val="0"/>
        <w:autoSpaceDE/>
        <w:autoSpaceDN/>
        <w:bidi w:val="0"/>
        <w:adjustRightInd/>
        <w:spacing w:line="34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课程秉持“中华美育”精神，建立面向全校本科生和社会开放的线上教学平台。课程集合了校内外、跨学科优势师资，组建院士、教授、实践艺术家等二十多名教师的授课团队；以“人文艺术美学、艺术鉴赏提升、科技工程美学、美学全人培育”四大版块，建构“多视角、宽视野、重交叉”的同济特色大学美育课程。</w:t>
      </w:r>
    </w:p>
    <w:p w14:paraId="226C0A23">
      <w:pPr>
        <w:pStyle w:val="2"/>
        <w:keepNext w:val="0"/>
        <w:keepLines w:val="0"/>
        <w:pageBreakBefore w:val="0"/>
        <w:kinsoku/>
        <w:wordWrap/>
        <w:overflowPunct/>
        <w:topLinePunct w:val="0"/>
        <w:autoSpaceDE/>
        <w:autoSpaceDN/>
        <w:bidi w:val="0"/>
        <w:adjustRightInd/>
        <w:snapToGrid w:val="0"/>
        <w:spacing w:before="0" w:after="0" w:line="340" w:lineRule="exact"/>
        <w:ind w:firstLine="482" w:firstLineChars="200"/>
        <w:contextualSpacing/>
        <w:jc w:val="left"/>
        <w:rPr>
          <w:rFonts w:hint="default" w:ascii="Times New Roman" w:hAnsi="Times New Roman" w:cs="Times New Roman" w:eastAsiaTheme="minorEastAsia"/>
          <w:sz w:val="24"/>
          <w:szCs w:val="24"/>
          <w:lang w:val="en-US" w:eastAsia="zh-CN"/>
        </w:rPr>
      </w:pPr>
      <w:bookmarkStart w:id="12" w:name="_Toc16554"/>
      <w:bookmarkStart w:id="13" w:name="_Toc11067249"/>
      <w:bookmarkStart w:id="14" w:name="_Toc27778"/>
    </w:p>
    <w:p w14:paraId="194223FB">
      <w:pPr>
        <w:pStyle w:val="2"/>
        <w:keepNext w:val="0"/>
        <w:keepLines w:val="0"/>
        <w:pageBreakBefore w:val="0"/>
        <w:kinsoku/>
        <w:wordWrap/>
        <w:overflowPunct/>
        <w:topLinePunct w:val="0"/>
        <w:autoSpaceDE/>
        <w:autoSpaceDN/>
        <w:bidi w:val="0"/>
        <w:adjustRightInd/>
        <w:snapToGrid w:val="0"/>
        <w:spacing w:before="0" w:after="0" w:line="340" w:lineRule="exact"/>
        <w:ind w:firstLine="482" w:firstLineChars="200"/>
        <w:contextualSpacing/>
        <w:jc w:val="left"/>
        <w:rPr>
          <w:rFonts w:hint="default" w:ascii="Times New Roman" w:hAnsi="Times New Roman" w:cs="Times New Roman" w:eastAsiaTheme="minorEastAsia"/>
          <w:sz w:val="24"/>
          <w:szCs w:val="24"/>
        </w:rPr>
      </w:pPr>
      <w:r>
        <w:rPr>
          <w:rFonts w:hint="eastAsia" w:ascii="Times New Roman" w:hAnsi="Times New Roman" w:cs="Times New Roman"/>
          <w:sz w:val="24"/>
          <w:szCs w:val="24"/>
          <w:lang w:val="en-US" w:eastAsia="zh-CN"/>
        </w:rPr>
        <w:t>11</w:t>
      </w:r>
      <w:r>
        <w:rPr>
          <w:rFonts w:hint="default" w:ascii="Times New Roman" w:hAnsi="Times New Roman" w:cs="Times New Roman" w:eastAsiaTheme="minorEastAsia"/>
          <w:sz w:val="24"/>
          <w:szCs w:val="24"/>
        </w:rPr>
        <w:t>.从草根到殿堂：流行音乐导论</w:t>
      </w:r>
      <w:bookmarkEnd w:id="12"/>
      <w:bookmarkEnd w:id="13"/>
      <w:bookmarkEnd w:id="14"/>
    </w:p>
    <w:p w14:paraId="7781A85E">
      <w:pPr>
        <w:pageBreakBefore w:val="0"/>
        <w:kinsoku/>
        <w:wordWrap/>
        <w:overflowPunct/>
        <w:topLinePunct w:val="0"/>
        <w:autoSpaceDE/>
        <w:autoSpaceDN/>
        <w:bidi w:val="0"/>
        <w:adjustRightInd/>
        <w:snapToGrid w:val="0"/>
        <w:spacing w:line="340" w:lineRule="exact"/>
        <w:ind w:firstLine="482" w:firstLineChars="200"/>
        <w:contextualSpacing/>
        <w:jc w:val="left"/>
        <w:textAlignment w:val="center"/>
        <w:rPr>
          <w:rFonts w:hint="eastAsia" w:ascii="Times New Roman" w:hAnsi="Times New Roman" w:cs="Times New Roman" w:eastAsiaTheme="minorEastAsia"/>
          <w:sz w:val="24"/>
          <w:szCs w:val="24"/>
          <w:lang w:eastAsia="zh-CN"/>
        </w:rPr>
      </w:pPr>
      <w:r>
        <w:rPr>
          <w:rFonts w:hint="eastAsia" w:ascii="Times New Roman" w:hAnsi="Times New Roman" w:cs="Times New Roman"/>
          <w:b/>
          <w:sz w:val="24"/>
          <w:szCs w:val="24"/>
          <w:lang w:eastAsia="zh-CN"/>
        </w:rPr>
        <w:t>课程简介:</w:t>
      </w:r>
    </w:p>
    <w:p w14:paraId="64DC3311">
      <w:pPr>
        <w:pageBreakBefore w:val="0"/>
        <w:kinsoku/>
        <w:wordWrap/>
        <w:overflowPunct/>
        <w:topLinePunct w:val="0"/>
        <w:autoSpaceDE/>
        <w:autoSpaceDN/>
        <w:bidi w:val="0"/>
        <w:adjustRightInd/>
        <w:snapToGrid w:val="0"/>
        <w:spacing w:line="340" w:lineRule="exact"/>
        <w:ind w:firstLine="480" w:firstLineChars="200"/>
        <w:contextualSpacing/>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流行音乐作为一种最大众、最通俗的平民化音乐，以其独特的姿态区别于古典音乐，并历经了一个多世纪的发展历程。该课程内容涉及了流行音乐的创作、表演、制作和传播等各个领域，通过丰富的富媒体资源，向学生展示了流行音乐从诞生到繁荣的历史过程，剖析了流行音乐文化背后所反映的社会背景，引导学生通过作品进行思考。</w:t>
      </w:r>
    </w:p>
    <w:p w14:paraId="7C0018CE">
      <w:pPr>
        <w:pStyle w:val="2"/>
        <w:keepNext w:val="0"/>
        <w:keepLines w:val="0"/>
        <w:pageBreakBefore w:val="0"/>
        <w:kinsoku/>
        <w:wordWrap/>
        <w:overflowPunct/>
        <w:topLinePunct w:val="0"/>
        <w:autoSpaceDE/>
        <w:autoSpaceDN/>
        <w:bidi w:val="0"/>
        <w:adjustRightInd/>
        <w:snapToGrid w:val="0"/>
        <w:spacing w:before="0" w:after="0" w:line="340" w:lineRule="exact"/>
        <w:ind w:firstLine="482" w:firstLineChars="200"/>
        <w:contextualSpacing/>
        <w:jc w:val="left"/>
        <w:rPr>
          <w:rFonts w:hint="eastAsia" w:ascii="Times New Roman" w:hAnsi="Times New Roman" w:cs="Times New Roman"/>
          <w:sz w:val="24"/>
          <w:szCs w:val="24"/>
          <w:lang w:val="en-US" w:eastAsia="zh-CN"/>
        </w:rPr>
      </w:pPr>
      <w:bookmarkStart w:id="15" w:name="_Toc16298"/>
      <w:bookmarkStart w:id="16" w:name="_Toc30837"/>
    </w:p>
    <w:p w14:paraId="714F3FB2">
      <w:pPr>
        <w:pStyle w:val="2"/>
        <w:keepNext w:val="0"/>
        <w:keepLines w:val="0"/>
        <w:pageBreakBefore w:val="0"/>
        <w:kinsoku/>
        <w:wordWrap/>
        <w:overflowPunct/>
        <w:topLinePunct w:val="0"/>
        <w:autoSpaceDE/>
        <w:autoSpaceDN/>
        <w:bidi w:val="0"/>
        <w:adjustRightInd/>
        <w:snapToGrid w:val="0"/>
        <w:spacing w:before="0" w:after="0" w:line="340" w:lineRule="exact"/>
        <w:ind w:firstLine="482" w:firstLineChars="200"/>
        <w:contextualSpacing/>
        <w:jc w:val="left"/>
        <w:rPr>
          <w:rFonts w:hint="default" w:ascii="Times New Roman" w:hAnsi="Times New Roman" w:cs="Times New Roman" w:eastAsiaTheme="minorEastAsia"/>
          <w:sz w:val="24"/>
          <w:szCs w:val="24"/>
        </w:rPr>
      </w:pPr>
      <w:r>
        <w:rPr>
          <w:rFonts w:hint="eastAsia" w:ascii="Times New Roman" w:hAnsi="Times New Roman" w:cs="Times New Roman"/>
          <w:sz w:val="24"/>
          <w:szCs w:val="24"/>
          <w:lang w:val="en-US" w:eastAsia="zh-CN"/>
        </w:rPr>
        <w:t>12</w:t>
      </w:r>
      <w:r>
        <w:rPr>
          <w:rFonts w:hint="default" w:ascii="Times New Roman" w:hAnsi="Times New Roman" w:cs="Times New Roman" w:eastAsiaTheme="minorEastAsia"/>
          <w:sz w:val="24"/>
          <w:szCs w:val="24"/>
        </w:rPr>
        <w:t>.大国兵器</w:t>
      </w:r>
    </w:p>
    <w:p w14:paraId="29F11BE5">
      <w:pPr>
        <w:pStyle w:val="2"/>
        <w:keepNext w:val="0"/>
        <w:keepLines w:val="0"/>
        <w:pageBreakBefore w:val="0"/>
        <w:kinsoku/>
        <w:wordWrap/>
        <w:overflowPunct/>
        <w:topLinePunct w:val="0"/>
        <w:autoSpaceDE/>
        <w:autoSpaceDN/>
        <w:bidi w:val="0"/>
        <w:adjustRightInd/>
        <w:snapToGrid w:val="0"/>
        <w:spacing w:before="0" w:after="0" w:line="340" w:lineRule="exact"/>
        <w:ind w:firstLine="482" w:firstLineChars="200"/>
        <w:contextualSpacing/>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课程简介</w:t>
      </w:r>
    </w:p>
    <w:p w14:paraId="15E53BDF">
      <w:pPr>
        <w:pStyle w:val="2"/>
        <w:keepNext w:val="0"/>
        <w:keepLines w:val="0"/>
        <w:pageBreakBefore w:val="0"/>
        <w:kinsoku/>
        <w:wordWrap/>
        <w:overflowPunct/>
        <w:topLinePunct w:val="0"/>
        <w:autoSpaceDE/>
        <w:autoSpaceDN/>
        <w:bidi w:val="0"/>
        <w:adjustRightInd/>
        <w:snapToGrid w:val="0"/>
        <w:spacing w:before="0" w:after="0" w:line="340" w:lineRule="exact"/>
        <w:ind w:firstLine="480" w:firstLineChars="200"/>
        <w:contextualSpacing/>
        <w:jc w:val="left"/>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sz w:val="24"/>
          <w:szCs w:val="24"/>
        </w:rPr>
        <w:t>“大国兵器”作为培养新时代大学生综合国防素质的通识课，采用“十位院士领衔主讲、专家学者专业授课、思政教师全程导航”的创新教学模式，通过“专业知识模块化”和“思政内容故事化”的课程设计，以“兵器知识的兴趣点”和“战例案例的关注点”为学生展示现代军事科技和武器装备的发展。</w:t>
      </w:r>
    </w:p>
    <w:p w14:paraId="7DBA8E67">
      <w:pPr>
        <w:pageBreakBefore w:val="0"/>
        <w:kinsoku/>
        <w:wordWrap/>
        <w:overflowPunct/>
        <w:topLinePunct w:val="0"/>
        <w:autoSpaceDE/>
        <w:autoSpaceDN/>
        <w:bidi w:val="0"/>
        <w:adjustRightInd/>
        <w:spacing w:line="340" w:lineRule="exact"/>
        <w:ind w:firstLine="420" w:firstLineChars="0"/>
        <w:rPr>
          <w:rFonts w:hint="default"/>
          <w:sz w:val="24"/>
          <w:szCs w:val="24"/>
        </w:rPr>
      </w:pPr>
    </w:p>
    <w:p w14:paraId="61193227">
      <w:pPr>
        <w:pStyle w:val="2"/>
        <w:keepNext w:val="0"/>
        <w:keepLines w:val="0"/>
        <w:pageBreakBefore w:val="0"/>
        <w:kinsoku/>
        <w:wordWrap/>
        <w:overflowPunct/>
        <w:topLinePunct w:val="0"/>
        <w:autoSpaceDE/>
        <w:autoSpaceDN/>
        <w:bidi w:val="0"/>
        <w:adjustRightInd/>
        <w:snapToGrid w:val="0"/>
        <w:spacing w:before="0" w:after="0" w:line="340" w:lineRule="exact"/>
        <w:ind w:firstLine="482" w:firstLineChars="200"/>
        <w:contextualSpacing/>
        <w:jc w:val="left"/>
        <w:rPr>
          <w:rFonts w:hint="default" w:ascii="Times New Roman" w:hAnsi="Times New Roman" w:cs="Times New Roman" w:eastAsiaTheme="minorEastAsia"/>
          <w:sz w:val="24"/>
          <w:szCs w:val="24"/>
        </w:rPr>
      </w:pPr>
      <w:r>
        <w:rPr>
          <w:rFonts w:hint="eastAsia" w:ascii="Times New Roman" w:hAnsi="Times New Roman" w:cs="Times New Roman"/>
          <w:sz w:val="24"/>
          <w:szCs w:val="24"/>
          <w:lang w:val="en-US" w:eastAsia="zh-CN"/>
        </w:rPr>
        <w:t>13</w:t>
      </w:r>
      <w:r>
        <w:rPr>
          <w:rFonts w:hint="default" w:ascii="Times New Roman" w:hAnsi="Times New Roman" w:cs="Times New Roman" w:eastAsiaTheme="minorEastAsia"/>
          <w:sz w:val="24"/>
          <w:szCs w:val="24"/>
        </w:rPr>
        <w:t>.大学生劳动教育</w:t>
      </w:r>
    </w:p>
    <w:p w14:paraId="22134A47">
      <w:pPr>
        <w:pStyle w:val="19"/>
        <w:pageBreakBefore w:val="0"/>
        <w:widowControl w:val="0"/>
        <w:kinsoku/>
        <w:wordWrap/>
        <w:overflowPunct/>
        <w:topLinePunct w:val="0"/>
        <w:autoSpaceDE/>
        <w:autoSpaceDN/>
        <w:bidi w:val="0"/>
        <w:adjustRightInd/>
        <w:spacing w:line="340" w:lineRule="exact"/>
        <w:ind w:firstLine="482" w:firstLineChars="200"/>
        <w:rPr>
          <w:rFonts w:hint="eastAsia" w:ascii="Times New Roman" w:hAnsi="Times New Roman" w:cs="Times New Roman" w:eastAsiaTheme="minorEastAsia"/>
          <w:color w:val="000000"/>
          <w:sz w:val="24"/>
          <w:szCs w:val="24"/>
          <w:lang w:eastAsia="zh-CN"/>
        </w:rPr>
      </w:pPr>
      <w:r>
        <w:rPr>
          <w:rFonts w:hint="eastAsia" w:ascii="Times New Roman" w:hAnsi="Times New Roman" w:cs="Times New Roman"/>
          <w:color w:val="000000"/>
          <w:sz w:val="24"/>
          <w:szCs w:val="24"/>
          <w:lang w:eastAsia="zh-CN"/>
        </w:rPr>
        <w:t>课程简介:</w:t>
      </w:r>
    </w:p>
    <w:p w14:paraId="1AEF8A91">
      <w:pPr>
        <w:pStyle w:val="2"/>
        <w:pageBreakBefore w:val="0"/>
        <w:kinsoku/>
        <w:wordWrap/>
        <w:overflowPunct/>
        <w:topLinePunct w:val="0"/>
        <w:autoSpaceDE/>
        <w:autoSpaceDN/>
        <w:bidi w:val="0"/>
        <w:adjustRightInd/>
        <w:spacing w:before="0" w:after="0" w:line="340" w:lineRule="exact"/>
        <w:ind w:firstLine="480" w:firstLineChars="200"/>
        <w:rPr>
          <w:rFonts w:hint="default" w:ascii="Times New Roman" w:hAnsi="Times New Roman" w:cs="Times New Roman" w:eastAsiaTheme="minorEastAsia"/>
          <w:b w:val="0"/>
          <w:bCs/>
          <w:sz w:val="24"/>
          <w:szCs w:val="24"/>
          <w:lang w:val="en-US" w:eastAsia="zh-CN"/>
        </w:rPr>
      </w:pPr>
      <w:r>
        <w:rPr>
          <w:rFonts w:hint="default" w:ascii="Times New Roman" w:hAnsi="Times New Roman" w:cs="Times New Roman" w:eastAsiaTheme="minorEastAsia"/>
          <w:b w:val="0"/>
          <w:bCs/>
          <w:sz w:val="24"/>
          <w:szCs w:val="24"/>
          <w:lang w:val="en-US" w:eastAsia="zh-CN"/>
        </w:rPr>
        <w:t>《大学生劳动教育》是高等学校各专业学生必修的劳动课程。课程通过线上学习+线下体验的教学模式，强化大学生劳动观念，弘扬劳动精神，彰显时代特征，培养学生正确的劳动态度、社会主义的劳动价值观、积极的劳动精神和良好的劳动品质。</w:t>
      </w:r>
    </w:p>
    <w:p w14:paraId="06EB8666">
      <w:pPr>
        <w:pStyle w:val="2"/>
        <w:pageBreakBefore w:val="0"/>
        <w:kinsoku/>
        <w:wordWrap/>
        <w:overflowPunct/>
        <w:topLinePunct w:val="0"/>
        <w:autoSpaceDE/>
        <w:autoSpaceDN/>
        <w:bidi w:val="0"/>
        <w:adjustRightInd/>
        <w:spacing w:before="0" w:after="0" w:line="340" w:lineRule="exact"/>
        <w:ind w:firstLine="480" w:firstLineChars="200"/>
        <w:rPr>
          <w:rFonts w:hint="default" w:ascii="Times New Roman" w:hAnsi="Times New Roman" w:cs="Times New Roman" w:eastAsiaTheme="minorEastAsia"/>
          <w:b w:val="0"/>
          <w:bCs/>
          <w:sz w:val="24"/>
          <w:szCs w:val="24"/>
          <w:lang w:val="en-US" w:eastAsia="zh-CN"/>
        </w:rPr>
      </w:pPr>
      <w:r>
        <w:rPr>
          <w:rFonts w:hint="default" w:ascii="Times New Roman" w:hAnsi="Times New Roman" w:cs="Times New Roman" w:eastAsiaTheme="minorEastAsia"/>
          <w:b w:val="0"/>
          <w:bCs/>
          <w:sz w:val="24"/>
          <w:szCs w:val="24"/>
          <w:lang w:val="en-US" w:eastAsia="zh-CN"/>
        </w:rPr>
        <w:t>线上学习内容主要有劳动概述、职业分类和劳动安全、劳动人物故事、日常生活劳动及实践、生产劳动及实践、服务性劳动及实践等内容。线下体验为职业体验，包括课内部分和课外部分。课内部分可通过工程训练课程实现，另外工程素质教育中心还专为本课程开设了汽车轮胎拆卸、机床保养、脚手架安装、手工制作等劳动内容；课外部分为学生选定某一职业进行不少于一天的全程职业劳动体验。</w:t>
      </w:r>
    </w:p>
    <w:p w14:paraId="62857E9A">
      <w:pPr>
        <w:pageBreakBefore w:val="0"/>
        <w:kinsoku/>
        <w:wordWrap/>
        <w:overflowPunct/>
        <w:topLinePunct w:val="0"/>
        <w:autoSpaceDE/>
        <w:autoSpaceDN/>
        <w:bidi w:val="0"/>
        <w:adjustRightInd/>
        <w:spacing w:line="340" w:lineRule="exact"/>
        <w:rPr>
          <w:rFonts w:hint="default"/>
          <w:lang w:val="en-US" w:eastAsia="zh-CN"/>
        </w:rPr>
      </w:pPr>
    </w:p>
    <w:p w14:paraId="6FDD82E5">
      <w:pPr>
        <w:pStyle w:val="2"/>
        <w:pageBreakBefore w:val="0"/>
        <w:kinsoku/>
        <w:wordWrap/>
        <w:overflowPunct/>
        <w:topLinePunct w:val="0"/>
        <w:autoSpaceDE/>
        <w:autoSpaceDN/>
        <w:bidi w:val="0"/>
        <w:adjustRightInd/>
        <w:spacing w:before="0" w:after="0" w:line="340" w:lineRule="exact"/>
        <w:ind w:firstLine="482" w:firstLineChars="200"/>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sz w:val="24"/>
          <w:szCs w:val="24"/>
          <w:lang w:val="en-US" w:eastAsia="zh-CN"/>
        </w:rPr>
        <w:t>1</w:t>
      </w:r>
      <w:r>
        <w:rPr>
          <w:rFonts w:hint="eastAsia" w:ascii="Times New Roman" w:hAnsi="Times New Roman" w:cs="Times New Roman"/>
          <w:sz w:val="24"/>
          <w:szCs w:val="24"/>
          <w:lang w:val="en-US" w:eastAsia="zh-CN"/>
        </w:rPr>
        <w:t>4</w:t>
      </w:r>
      <w:r>
        <w:rPr>
          <w:rFonts w:hint="default" w:ascii="Times New Roman" w:hAnsi="Times New Roman" w:cs="Times New Roman" w:eastAsiaTheme="minorEastAsia"/>
          <w:sz w:val="24"/>
          <w:szCs w:val="24"/>
        </w:rPr>
        <w:t>.创新创业基础</w:t>
      </w:r>
      <w:bookmarkEnd w:id="15"/>
      <w:bookmarkEnd w:id="16"/>
    </w:p>
    <w:p w14:paraId="4C254AA6">
      <w:pPr>
        <w:pageBreakBefore w:val="0"/>
        <w:kinsoku/>
        <w:wordWrap/>
        <w:overflowPunct/>
        <w:topLinePunct w:val="0"/>
        <w:autoSpaceDE/>
        <w:autoSpaceDN/>
        <w:bidi w:val="0"/>
        <w:adjustRightInd/>
        <w:spacing w:line="340" w:lineRule="exact"/>
        <w:ind w:firstLine="482" w:firstLineChars="200"/>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eastAsia="zh-CN"/>
        </w:rPr>
        <w:t>课程简介:</w:t>
      </w:r>
    </w:p>
    <w:p w14:paraId="4CB827B5">
      <w:pPr>
        <w:pageBreakBefore w:val="0"/>
        <w:kinsoku/>
        <w:wordWrap/>
        <w:overflowPunct/>
        <w:topLinePunct w:val="0"/>
        <w:autoSpaceDE/>
        <w:autoSpaceDN/>
        <w:bidi w:val="0"/>
        <w:adjustRightInd/>
        <w:spacing w:line="340" w:lineRule="exact"/>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本课程依循教育部《普通本科学校创业教育教学基本要求(试行)》，基于科学的认知学习理论，围绕大学生创业所需的基础知识、基本理论、基本方法和基本流程，强调知识、理论和能力三位一体的创业系统建构。在内容规划和学习导向上，本课程遵循如下逻辑关系：1、是什么?——准确定义概念，阐明基本知识。2、为什么？——恰当运用基本理论分析主要原因。3、怎么做？——着重掌握基本流程和基本方法，课程主讲教师为李家华教授，是“中国创业教育第一人”，此外还有邀请北京航空航天大学创业管理培训学院院长董青春教授和中央财经大学商学院党总支书记兼副院长葛建新教授参与课程，师资力量强大，名师大家云集，是课程的质量保证。创新思维贯穿整个课程，不仅授课形式创新，讲座讨论与授课相结合，内容上直接聚焦创新，引导学生改变思维方式，转换观察世界的视角，培养学生的创新思维。课程内容与思政教育结合紧密，该课程充分发挥课堂教学在育人中主渠道作用，着力将思想政治教育贯穿于教学的全过程。前沿科技与创业案例结合，当代大学生对创业的认识非常有限，主讲教师们运用相关经典创新创业案例、活泼生动的语言，将国际国内前沿科技创新创业案例深入浅出地讲给广大学生。课程既适合有一定知识基础的高校学生学习，又可以面向广大初级创业者，是一门完美结合创新与创业的精品课程。</w:t>
      </w:r>
      <w:bookmarkStart w:id="17" w:name="_Toc7809"/>
      <w:bookmarkStart w:id="18" w:name="_Toc18203"/>
    </w:p>
    <w:p w14:paraId="3E689820">
      <w:pPr>
        <w:pStyle w:val="2"/>
        <w:pageBreakBefore w:val="0"/>
        <w:kinsoku/>
        <w:wordWrap/>
        <w:overflowPunct/>
        <w:topLinePunct w:val="0"/>
        <w:autoSpaceDE/>
        <w:autoSpaceDN/>
        <w:bidi w:val="0"/>
        <w:adjustRightInd/>
        <w:spacing w:before="0" w:after="0" w:line="340" w:lineRule="exact"/>
        <w:ind w:firstLine="482" w:firstLineChars="200"/>
        <w:rPr>
          <w:rFonts w:hint="default" w:ascii="Times New Roman" w:hAnsi="Times New Roman" w:cs="Times New Roman" w:eastAsiaTheme="minorEastAsia"/>
          <w:sz w:val="24"/>
          <w:szCs w:val="24"/>
          <w:lang w:val="en-US" w:eastAsia="zh-CN"/>
        </w:rPr>
      </w:pPr>
    </w:p>
    <w:p w14:paraId="5E9A2EF3">
      <w:pPr>
        <w:pStyle w:val="2"/>
        <w:pageBreakBefore w:val="0"/>
        <w:kinsoku/>
        <w:wordWrap/>
        <w:overflowPunct/>
        <w:topLinePunct w:val="0"/>
        <w:autoSpaceDE/>
        <w:autoSpaceDN/>
        <w:bidi w:val="0"/>
        <w:adjustRightInd/>
        <w:spacing w:before="0" w:after="0" w:line="340" w:lineRule="exact"/>
        <w:ind w:firstLine="482"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eastAsia" w:ascii="Times New Roman" w:hAnsi="Times New Roman" w:cs="Times New Roman"/>
          <w:sz w:val="24"/>
          <w:szCs w:val="24"/>
          <w:lang w:val="en-US" w:eastAsia="zh-CN"/>
        </w:rPr>
        <w:t>5</w:t>
      </w:r>
      <w:r>
        <w:rPr>
          <w:rFonts w:hint="default" w:ascii="Times New Roman" w:hAnsi="Times New Roman" w:cs="Times New Roman" w:eastAsiaTheme="minorEastAsia"/>
          <w:sz w:val="24"/>
          <w:szCs w:val="24"/>
        </w:rPr>
        <w:t>.脑洞大开背后的创新思维</w:t>
      </w:r>
      <w:bookmarkEnd w:id="17"/>
      <w:bookmarkEnd w:id="18"/>
    </w:p>
    <w:p w14:paraId="5FDB18D2">
      <w:pPr>
        <w:pageBreakBefore w:val="0"/>
        <w:kinsoku/>
        <w:wordWrap/>
        <w:overflowPunct/>
        <w:topLinePunct w:val="0"/>
        <w:autoSpaceDE/>
        <w:autoSpaceDN/>
        <w:bidi w:val="0"/>
        <w:adjustRightInd/>
        <w:snapToGrid w:val="0"/>
        <w:spacing w:line="340" w:lineRule="exact"/>
        <w:ind w:firstLine="482" w:firstLineChars="200"/>
        <w:contextualSpacing/>
        <w:jc w:val="left"/>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eastAsia="zh-CN"/>
        </w:rPr>
        <w:t>课程简介:</w:t>
      </w:r>
    </w:p>
    <w:p w14:paraId="20F3A6F7">
      <w:pPr>
        <w:pageBreakBefore w:val="0"/>
        <w:kinsoku/>
        <w:wordWrap/>
        <w:overflowPunct/>
        <w:topLinePunct w:val="0"/>
        <w:autoSpaceDE/>
        <w:autoSpaceDN/>
        <w:bidi w:val="0"/>
        <w:adjustRightInd/>
        <w:snapToGrid w:val="0"/>
        <w:spacing w:line="340" w:lineRule="exact"/>
        <w:ind w:firstLine="480" w:firstLineChars="200"/>
        <w:contextualSpacing/>
        <w:jc w:val="left"/>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sz w:val="24"/>
          <w:szCs w:val="24"/>
        </w:rPr>
        <w:t>《脑洞大开背后的创新思维》，是国家级视频公开课程、国家精品在线开放课程。</w:t>
      </w:r>
    </w:p>
    <w:p w14:paraId="34F4BA0C">
      <w:pPr>
        <w:pageBreakBefore w:val="0"/>
        <w:kinsoku/>
        <w:wordWrap/>
        <w:overflowPunct/>
        <w:topLinePunct w:val="0"/>
        <w:autoSpaceDE/>
        <w:autoSpaceDN/>
        <w:bidi w:val="0"/>
        <w:adjustRightInd/>
        <w:spacing w:line="340" w:lineRule="exact"/>
        <w:rPr>
          <w:rFonts w:hint="eastAsia" w:ascii="微软雅黑" w:hAnsi="微软雅黑" w:cs="宋体" w:eastAsiaTheme="minorEastAsia"/>
          <w:color w:val="3F3F3F"/>
          <w:spacing w:val="8"/>
          <w:kern w:val="0"/>
          <w:sz w:val="24"/>
          <w:szCs w:val="24"/>
          <w:lang w:eastAsia="zh-CN"/>
        </w:rPr>
      </w:pPr>
      <w:r>
        <w:rPr>
          <w:rFonts w:hint="default" w:ascii="Times New Roman" w:hAnsi="Times New Roman" w:cs="Times New Roman" w:eastAsiaTheme="minorEastAsia"/>
          <w:sz w:val="24"/>
          <w:szCs w:val="24"/>
        </w:rPr>
        <w:t>《脑洞大开背后的创新思维》课程教学目标是帮助大学生了解创造性思维和创新方法在创新能力培养中的作用，培养大学生创造性思维，促使学生尽快掌握创新方法，让大学生学会独立思考、善于提问，将本课程所学知识能够应用于日常生活和课程学习中，最终达到提高大学生创新能力的目的</w:t>
      </w:r>
      <w:r>
        <w:rPr>
          <w:rFonts w:hint="eastAsia" w:ascii="Times New Roman" w:hAnsi="Times New Roman" w:cs="Times New Roman"/>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09"/>
    <w:rsid w:val="00003338"/>
    <w:rsid w:val="00024A9D"/>
    <w:rsid w:val="000403DC"/>
    <w:rsid w:val="000578E6"/>
    <w:rsid w:val="00065495"/>
    <w:rsid w:val="00096DB7"/>
    <w:rsid w:val="000A3FAE"/>
    <w:rsid w:val="000E264E"/>
    <w:rsid w:val="00115D32"/>
    <w:rsid w:val="0012074B"/>
    <w:rsid w:val="00120DA7"/>
    <w:rsid w:val="0012780F"/>
    <w:rsid w:val="00127BF2"/>
    <w:rsid w:val="001B124A"/>
    <w:rsid w:val="001E7C6E"/>
    <w:rsid w:val="002078B1"/>
    <w:rsid w:val="002121B9"/>
    <w:rsid w:val="00254CE5"/>
    <w:rsid w:val="0029378C"/>
    <w:rsid w:val="002D6A2A"/>
    <w:rsid w:val="002E3C24"/>
    <w:rsid w:val="002E6051"/>
    <w:rsid w:val="002E72A6"/>
    <w:rsid w:val="002F0605"/>
    <w:rsid w:val="002F21BF"/>
    <w:rsid w:val="00310235"/>
    <w:rsid w:val="00337E30"/>
    <w:rsid w:val="0035645F"/>
    <w:rsid w:val="00367962"/>
    <w:rsid w:val="00375BD4"/>
    <w:rsid w:val="0039475E"/>
    <w:rsid w:val="003A0B01"/>
    <w:rsid w:val="003C1242"/>
    <w:rsid w:val="003F7224"/>
    <w:rsid w:val="004012AB"/>
    <w:rsid w:val="00466BDF"/>
    <w:rsid w:val="004C08C8"/>
    <w:rsid w:val="004C3A92"/>
    <w:rsid w:val="004E6B7A"/>
    <w:rsid w:val="004F7E24"/>
    <w:rsid w:val="005422D0"/>
    <w:rsid w:val="005462D7"/>
    <w:rsid w:val="00550D94"/>
    <w:rsid w:val="00567D8A"/>
    <w:rsid w:val="00570F7B"/>
    <w:rsid w:val="005752A1"/>
    <w:rsid w:val="005C1A47"/>
    <w:rsid w:val="005C5DE1"/>
    <w:rsid w:val="005F1C21"/>
    <w:rsid w:val="005F1CB4"/>
    <w:rsid w:val="00644266"/>
    <w:rsid w:val="0064516C"/>
    <w:rsid w:val="006C5603"/>
    <w:rsid w:val="006D17B0"/>
    <w:rsid w:val="006D4A6F"/>
    <w:rsid w:val="006D79A3"/>
    <w:rsid w:val="006E1D61"/>
    <w:rsid w:val="006F1AD3"/>
    <w:rsid w:val="00710E1F"/>
    <w:rsid w:val="0073295F"/>
    <w:rsid w:val="0074251B"/>
    <w:rsid w:val="0076594F"/>
    <w:rsid w:val="00773CF3"/>
    <w:rsid w:val="007748A5"/>
    <w:rsid w:val="0078517B"/>
    <w:rsid w:val="007B62B7"/>
    <w:rsid w:val="007C2952"/>
    <w:rsid w:val="007E3010"/>
    <w:rsid w:val="0081395D"/>
    <w:rsid w:val="00836FE4"/>
    <w:rsid w:val="00880332"/>
    <w:rsid w:val="008A64FB"/>
    <w:rsid w:val="008A6FBA"/>
    <w:rsid w:val="008B6E11"/>
    <w:rsid w:val="008D1A7E"/>
    <w:rsid w:val="008E14A7"/>
    <w:rsid w:val="00913608"/>
    <w:rsid w:val="00922E16"/>
    <w:rsid w:val="00923F44"/>
    <w:rsid w:val="00960149"/>
    <w:rsid w:val="009710BE"/>
    <w:rsid w:val="00976BED"/>
    <w:rsid w:val="009B6679"/>
    <w:rsid w:val="009F2047"/>
    <w:rsid w:val="00A13FB3"/>
    <w:rsid w:val="00A162F9"/>
    <w:rsid w:val="00A44D3F"/>
    <w:rsid w:val="00A4519C"/>
    <w:rsid w:val="00A6276C"/>
    <w:rsid w:val="00A87CF3"/>
    <w:rsid w:val="00AA74C4"/>
    <w:rsid w:val="00AD0446"/>
    <w:rsid w:val="00AD17BB"/>
    <w:rsid w:val="00AF4166"/>
    <w:rsid w:val="00B041E7"/>
    <w:rsid w:val="00B45B39"/>
    <w:rsid w:val="00B547D6"/>
    <w:rsid w:val="00B57C45"/>
    <w:rsid w:val="00B57EED"/>
    <w:rsid w:val="00B63B0E"/>
    <w:rsid w:val="00BA5684"/>
    <w:rsid w:val="00BB7C6E"/>
    <w:rsid w:val="00BD11D8"/>
    <w:rsid w:val="00BD4012"/>
    <w:rsid w:val="00BD46C9"/>
    <w:rsid w:val="00C14497"/>
    <w:rsid w:val="00C23B8D"/>
    <w:rsid w:val="00C258E2"/>
    <w:rsid w:val="00C42692"/>
    <w:rsid w:val="00C44EBA"/>
    <w:rsid w:val="00C508FA"/>
    <w:rsid w:val="00C50BB8"/>
    <w:rsid w:val="00C544E6"/>
    <w:rsid w:val="00C8481B"/>
    <w:rsid w:val="00C96C68"/>
    <w:rsid w:val="00C97594"/>
    <w:rsid w:val="00CA78C1"/>
    <w:rsid w:val="00CB3EEE"/>
    <w:rsid w:val="00D02DB9"/>
    <w:rsid w:val="00D52850"/>
    <w:rsid w:val="00D5346A"/>
    <w:rsid w:val="00D94D1E"/>
    <w:rsid w:val="00DA4018"/>
    <w:rsid w:val="00DA5F43"/>
    <w:rsid w:val="00DE5703"/>
    <w:rsid w:val="00E23E89"/>
    <w:rsid w:val="00E3139D"/>
    <w:rsid w:val="00E600E6"/>
    <w:rsid w:val="00E87101"/>
    <w:rsid w:val="00EA5E02"/>
    <w:rsid w:val="00EA7050"/>
    <w:rsid w:val="00EB3EB3"/>
    <w:rsid w:val="00EC21C0"/>
    <w:rsid w:val="00ED6242"/>
    <w:rsid w:val="00EE35C3"/>
    <w:rsid w:val="00F00280"/>
    <w:rsid w:val="00F021B7"/>
    <w:rsid w:val="00F14589"/>
    <w:rsid w:val="00F25A07"/>
    <w:rsid w:val="00F53709"/>
    <w:rsid w:val="00F56B59"/>
    <w:rsid w:val="00F62D6D"/>
    <w:rsid w:val="00F70E5D"/>
    <w:rsid w:val="00F80764"/>
    <w:rsid w:val="00F87281"/>
    <w:rsid w:val="00F9289B"/>
    <w:rsid w:val="00FB0C67"/>
    <w:rsid w:val="00FB67D7"/>
    <w:rsid w:val="00FE04F2"/>
    <w:rsid w:val="00FF5B1C"/>
    <w:rsid w:val="014E0A1E"/>
    <w:rsid w:val="02054F52"/>
    <w:rsid w:val="02F53218"/>
    <w:rsid w:val="03922815"/>
    <w:rsid w:val="04041965"/>
    <w:rsid w:val="040C0819"/>
    <w:rsid w:val="04C4728E"/>
    <w:rsid w:val="06A62738"/>
    <w:rsid w:val="0B381EF4"/>
    <w:rsid w:val="0E2844A2"/>
    <w:rsid w:val="0E76345F"/>
    <w:rsid w:val="1D4D182F"/>
    <w:rsid w:val="1DF63C75"/>
    <w:rsid w:val="231013EE"/>
    <w:rsid w:val="287560DE"/>
    <w:rsid w:val="29023E15"/>
    <w:rsid w:val="290A2CCA"/>
    <w:rsid w:val="326A6587"/>
    <w:rsid w:val="34DE2CCB"/>
    <w:rsid w:val="37EA1692"/>
    <w:rsid w:val="3D766728"/>
    <w:rsid w:val="3E5A1EC9"/>
    <w:rsid w:val="42172448"/>
    <w:rsid w:val="42B86E9B"/>
    <w:rsid w:val="47D12ED9"/>
    <w:rsid w:val="4DCB5E2A"/>
    <w:rsid w:val="50045C84"/>
    <w:rsid w:val="547F3CBD"/>
    <w:rsid w:val="59C26B25"/>
    <w:rsid w:val="5A777E60"/>
    <w:rsid w:val="61505588"/>
    <w:rsid w:val="61730705"/>
    <w:rsid w:val="64A02343"/>
    <w:rsid w:val="694160D5"/>
    <w:rsid w:val="6C7F08A6"/>
    <w:rsid w:val="6DA530D3"/>
    <w:rsid w:val="6FC860C0"/>
    <w:rsid w:val="724539F8"/>
    <w:rsid w:val="72D8486C"/>
    <w:rsid w:val="737A1DC7"/>
    <w:rsid w:val="74B82BA7"/>
    <w:rsid w:val="763D575F"/>
    <w:rsid w:val="797D616D"/>
    <w:rsid w:val="7CEB01B5"/>
    <w:rsid w:val="7E13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413" w:lineRule="auto"/>
      <w:outlineLvl w:val="2"/>
    </w:pPr>
    <w:rPr>
      <w:b/>
      <w:kern w:val="0"/>
      <w:sz w:val="2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批注框文本 Char"/>
    <w:basedOn w:val="10"/>
    <w:link w:val="3"/>
    <w:semiHidden/>
    <w:qFormat/>
    <w:uiPriority w:val="99"/>
    <w:rPr>
      <w:sz w:val="18"/>
      <w:szCs w:val="18"/>
    </w:rPr>
  </w:style>
  <w:style w:type="character" w:customStyle="1" w:styleId="14">
    <w:name w:val="页眉 Char"/>
    <w:basedOn w:val="10"/>
    <w:link w:val="5"/>
    <w:qFormat/>
    <w:uiPriority w:val="99"/>
    <w:rPr>
      <w:sz w:val="18"/>
      <w:szCs w:val="18"/>
    </w:rPr>
  </w:style>
  <w:style w:type="character" w:customStyle="1" w:styleId="15">
    <w:name w:val="页脚 Char"/>
    <w:basedOn w:val="10"/>
    <w:link w:val="4"/>
    <w:qFormat/>
    <w:uiPriority w:val="99"/>
    <w:rPr>
      <w:sz w:val="18"/>
      <w:szCs w:val="18"/>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font21"/>
    <w:basedOn w:val="10"/>
    <w:qFormat/>
    <w:uiPriority w:val="0"/>
    <w:rPr>
      <w:rFonts w:ascii="Arial" w:hAnsi="Arial" w:cs="Arial"/>
      <w:color w:val="000000"/>
      <w:sz w:val="20"/>
      <w:szCs w:val="20"/>
      <w:u w:val="none"/>
    </w:rPr>
  </w:style>
  <w:style w:type="character" w:customStyle="1" w:styleId="18">
    <w:name w:val="font31"/>
    <w:basedOn w:val="10"/>
    <w:qFormat/>
    <w:uiPriority w:val="0"/>
    <w:rPr>
      <w:rFonts w:hint="eastAsia" w:ascii="宋体" w:hAnsi="宋体" w:eastAsia="宋体" w:cs="宋体"/>
      <w:color w:val="000000"/>
      <w:sz w:val="20"/>
      <w:szCs w:val="20"/>
      <w:u w:val="none"/>
    </w:rPr>
  </w:style>
  <w:style w:type="paragraph" w:customStyle="1" w:styleId="19">
    <w:name w:val="标题标题"/>
    <w:basedOn w:val="20"/>
    <w:qFormat/>
    <w:uiPriority w:val="0"/>
    <w:rPr>
      <w:color w:val="FF0000"/>
    </w:rPr>
  </w:style>
  <w:style w:type="paragraph" w:customStyle="1" w:styleId="20">
    <w:name w:val="XXX"/>
    <w:basedOn w:val="1"/>
    <w:qFormat/>
    <w:uiPriority w:val="0"/>
    <w:pPr>
      <w:widowControl/>
      <w:snapToGrid w:val="0"/>
      <w:spacing w:line="360" w:lineRule="auto"/>
      <w:contextualSpacing/>
      <w:jc w:val="left"/>
      <w:textAlignment w:val="center"/>
    </w:pPr>
    <w:rPr>
      <w:rFonts w:ascii="宋体" w:hAnsi="宋体"/>
      <w:b/>
      <w:kern w:val="0"/>
      <w:sz w:val="20"/>
    </w:rPr>
  </w:style>
  <w:style w:type="paragraph" w:customStyle="1" w:styleId="21">
    <w:name w:val="样式222222"/>
    <w:basedOn w:val="2"/>
    <w:qFormat/>
    <w:uiPriority w:val="0"/>
    <w:pPr>
      <w:snapToGrid w:val="0"/>
      <w:spacing w:line="360" w:lineRule="auto"/>
      <w:contextualSpacing/>
      <w:jc w:val="left"/>
    </w:pPr>
    <w:rPr>
      <w:rFonts w:ascii="宋体" w:hAnsi="宋体"/>
      <w:color w:val="000000"/>
      <w:kern w:val="21"/>
    </w:rPr>
  </w:style>
  <w:style w:type="paragraph" w:customStyle="1" w:styleId="22">
    <w:name w:val="二级标题"/>
    <w:basedOn w:val="2"/>
    <w:qFormat/>
    <w:uiPriority w:val="0"/>
    <w:pPr>
      <w:snapToGrid w:val="0"/>
      <w:spacing w:line="360" w:lineRule="auto"/>
      <w:contextualSpacing/>
      <w:jc w:val="left"/>
    </w:pPr>
    <w:rPr>
      <w:rFonts w:ascii="宋体" w:hAnsi="宋体"/>
    </w:rPr>
  </w:style>
  <w:style w:type="character" w:customStyle="1" w:styleId="23">
    <w:name w:val="font41"/>
    <w:basedOn w:val="1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8EDA-94E5-4F46-A909-668CC4421C0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10882</Words>
  <Characters>11078</Characters>
  <Lines>55</Lines>
  <Paragraphs>15</Paragraphs>
  <TotalTime>4</TotalTime>
  <ScaleCrop>false</ScaleCrop>
  <LinksUpToDate>false</LinksUpToDate>
  <CharactersWithSpaces>11097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2025-02-26T06:31:00Z</dcterms:created>
  <dc:creator>chin_g@163.com</dc:creator>
  <cp:lastModifiedBy>彦北</cp:lastModifiedBy>
  <dcterms:modified xsi:type="dcterms:W3CDTF">2026-03-13T02:08:48Z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eyJoZGlkIjoiNmUwMjBkZmZmNzBhNjMxZTNiN2I2MzU0OTA3ZTVhMzUiLCJ1c2VySWQiOiIxNTc3NzQ1Mjg3In0=</vt:lpwstr>
  </property>
  <property fmtid="{D5CDD505-2E9C-101B-9397-08002B2CF9AE}" pid="3" name="KSOProductBuildVer">
    <vt:lpwstr>2052-12.1.0.25225</vt:lpwstr>
  </property>
  <property fmtid="{D5CDD505-2E9C-101B-9397-08002B2CF9AE}" pid="4" name="ICV">
    <vt:lpwstr>968009199CCD4AAEB4F3C58031222704_13</vt:lpwstr>
  </property>
</Properties>
</file>