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D14E5">
      <w:pPr>
        <w:pStyle w:val="7"/>
        <w:keepNext w:val="0"/>
        <w:keepLines w:val="0"/>
        <w:widowControl/>
        <w:suppressLineNumbers w:val="0"/>
        <w:ind w:lef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lang w:val="en-US" w:eastAsia="zh-CN"/>
        </w:rPr>
        <w:t>2025-2026</w:t>
      </w:r>
      <w:r>
        <w:rPr>
          <w:rFonts w:hint="eastAsia" w:ascii="微软雅黑" w:hAnsi="微软雅黑" w:eastAsia="微软雅黑" w:cs="微软雅黑"/>
          <w:i w:val="0"/>
          <w:iCs w:val="0"/>
          <w:caps w:val="0"/>
          <w:color w:val="000000"/>
          <w:spacing w:val="0"/>
          <w:sz w:val="36"/>
          <w:szCs w:val="36"/>
        </w:rPr>
        <w:t>学年第</w:t>
      </w:r>
      <w:r>
        <w:rPr>
          <w:rFonts w:hint="eastAsia" w:ascii="微软雅黑" w:hAnsi="微软雅黑" w:eastAsia="微软雅黑" w:cs="微软雅黑"/>
          <w:i w:val="0"/>
          <w:iCs w:val="0"/>
          <w:caps w:val="0"/>
          <w:color w:val="000000"/>
          <w:spacing w:val="0"/>
          <w:sz w:val="36"/>
          <w:szCs w:val="36"/>
          <w:lang w:val="en-US" w:eastAsia="zh-CN"/>
        </w:rPr>
        <w:t>一</w:t>
      </w:r>
      <w:r>
        <w:rPr>
          <w:rFonts w:hint="eastAsia" w:ascii="微软雅黑" w:hAnsi="微软雅黑" w:eastAsia="微软雅黑" w:cs="微软雅黑"/>
          <w:i w:val="0"/>
          <w:iCs w:val="0"/>
          <w:caps w:val="0"/>
          <w:color w:val="000000"/>
          <w:spacing w:val="0"/>
          <w:sz w:val="36"/>
          <w:szCs w:val="36"/>
        </w:rPr>
        <w:t>学期智慧树、超星尔雅平台</w:t>
      </w:r>
    </w:p>
    <w:p w14:paraId="0A6C27A9">
      <w:pPr>
        <w:pStyle w:val="7"/>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rPr>
        <w:t>在线课程汇总表</w:t>
      </w:r>
    </w:p>
    <w:tbl>
      <w:tblPr>
        <w:tblStyle w:val="8"/>
        <w:tblpPr w:leftFromText="180" w:rightFromText="180" w:vertAnchor="page" w:horzAnchor="page" w:tblpX="1440" w:tblpY="3318"/>
        <w:tblW w:w="9463" w:type="dxa"/>
        <w:jc w:val="center"/>
        <w:tblLayout w:type="fixed"/>
        <w:tblCellMar>
          <w:top w:w="0" w:type="dxa"/>
          <w:left w:w="108" w:type="dxa"/>
          <w:bottom w:w="0" w:type="dxa"/>
          <w:right w:w="108" w:type="dxa"/>
        </w:tblCellMar>
      </w:tblPr>
      <w:tblGrid>
        <w:gridCol w:w="3402"/>
        <w:gridCol w:w="3459"/>
        <w:gridCol w:w="1321"/>
        <w:gridCol w:w="1281"/>
      </w:tblGrid>
      <w:tr w14:paraId="1BE332BF">
        <w:tblPrEx>
          <w:tblCellMar>
            <w:top w:w="0" w:type="dxa"/>
            <w:left w:w="108" w:type="dxa"/>
            <w:bottom w:w="0" w:type="dxa"/>
            <w:right w:w="108" w:type="dxa"/>
          </w:tblCellMar>
        </w:tblPrEx>
        <w:trPr>
          <w:trHeight w:val="680" w:hRule="exact"/>
          <w:jc w:val="center"/>
        </w:trPr>
        <w:tc>
          <w:tcPr>
            <w:tcW w:w="9463" w:type="dxa"/>
            <w:gridSpan w:val="4"/>
            <w:tcBorders>
              <w:top w:val="single" w:color="000000" w:sz="8" w:space="0"/>
              <w:left w:val="single" w:color="000000" w:sz="8" w:space="0"/>
              <w:bottom w:val="single" w:color="auto" w:sz="8" w:space="0"/>
              <w:right w:val="single" w:color="000000" w:sz="8" w:space="0"/>
            </w:tcBorders>
          </w:tcPr>
          <w:p w14:paraId="688E4B74">
            <w:pPr>
              <w:widowControl/>
              <w:jc w:val="center"/>
              <w:textAlignment w:val="top"/>
              <w:rPr>
                <w:rFonts w:ascii="微软雅黑" w:hAnsi="微软雅黑" w:eastAsia="微软雅黑" w:cs="微软雅黑"/>
                <w:b/>
                <w:color w:val="3F3F3F"/>
                <w:kern w:val="0"/>
                <w:sz w:val="24"/>
                <w:szCs w:val="24"/>
                <w:lang w:bidi="ar"/>
              </w:rPr>
            </w:pPr>
            <w:r>
              <w:rPr>
                <w:rFonts w:hint="eastAsia" w:ascii="微软雅黑" w:hAnsi="微软雅黑" w:eastAsia="微软雅黑" w:cs="微软雅黑"/>
                <w:b/>
                <w:color w:val="3F3F3F"/>
                <w:kern w:val="0"/>
                <w:sz w:val="24"/>
                <w:szCs w:val="24"/>
                <w:lang w:bidi="ar"/>
              </w:rPr>
              <w:t>智慧树平台课程简介</w:t>
            </w:r>
          </w:p>
        </w:tc>
      </w:tr>
      <w:tr w14:paraId="1398467D">
        <w:tblPrEx>
          <w:tblCellMar>
            <w:top w:w="0" w:type="dxa"/>
            <w:left w:w="108" w:type="dxa"/>
            <w:bottom w:w="0" w:type="dxa"/>
            <w:right w:w="108" w:type="dxa"/>
          </w:tblCellMar>
        </w:tblPrEx>
        <w:trPr>
          <w:trHeight w:val="680" w:hRule="exact"/>
          <w:jc w:val="center"/>
        </w:trPr>
        <w:tc>
          <w:tcPr>
            <w:tcW w:w="3402" w:type="dxa"/>
            <w:tcBorders>
              <w:top w:val="single" w:color="000000" w:sz="8" w:space="0"/>
              <w:left w:val="single" w:color="000000" w:sz="8" w:space="0"/>
              <w:bottom w:val="single" w:color="auto" w:sz="8" w:space="0"/>
              <w:right w:val="single" w:color="000000" w:sz="8" w:space="0"/>
            </w:tcBorders>
          </w:tcPr>
          <w:p w14:paraId="4D9B4885">
            <w:pPr>
              <w:widowControl/>
              <w:jc w:val="center"/>
              <w:textAlignment w:val="top"/>
              <w:rPr>
                <w:rFonts w:ascii="微软雅黑" w:hAnsi="微软雅黑" w:eastAsia="微软雅黑" w:cs="微软雅黑"/>
                <w:color w:val="3F3F3F"/>
                <w:kern w:val="0"/>
                <w:sz w:val="24"/>
                <w:szCs w:val="24"/>
                <w:lang w:bidi="ar"/>
              </w:rPr>
            </w:pPr>
            <w:r>
              <w:rPr>
                <w:rFonts w:hint="eastAsia" w:ascii="微软雅黑" w:hAnsi="微软雅黑" w:eastAsia="微软雅黑" w:cs="微软雅黑"/>
                <w:color w:val="3F3F3F"/>
                <w:kern w:val="0"/>
                <w:sz w:val="24"/>
                <w:szCs w:val="24"/>
                <w:lang w:bidi="ar"/>
              </w:rPr>
              <w:t>课程类别</w:t>
            </w:r>
          </w:p>
        </w:tc>
        <w:tc>
          <w:tcPr>
            <w:tcW w:w="3459" w:type="dxa"/>
            <w:tcBorders>
              <w:top w:val="single" w:color="000000" w:sz="8" w:space="0"/>
              <w:left w:val="single" w:color="000000" w:sz="8" w:space="0"/>
              <w:bottom w:val="single" w:color="auto" w:sz="8" w:space="0"/>
              <w:right w:val="single" w:color="000000" w:sz="8" w:space="0"/>
            </w:tcBorders>
            <w:shd w:val="clear" w:color="auto" w:fill="auto"/>
          </w:tcPr>
          <w:p w14:paraId="414D6998">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szCs w:val="24"/>
                <w:lang w:bidi="ar"/>
              </w:rPr>
              <w:t>课程名称</w:t>
            </w:r>
          </w:p>
        </w:tc>
        <w:tc>
          <w:tcPr>
            <w:tcW w:w="1321" w:type="dxa"/>
            <w:tcBorders>
              <w:top w:val="single" w:color="000000" w:sz="8" w:space="0"/>
              <w:left w:val="single" w:color="000000" w:sz="8" w:space="0"/>
              <w:bottom w:val="single" w:color="000000" w:sz="8" w:space="0"/>
              <w:right w:val="single" w:color="000000" w:sz="8" w:space="0"/>
            </w:tcBorders>
            <w:shd w:val="clear" w:color="auto" w:fill="auto"/>
          </w:tcPr>
          <w:p w14:paraId="1D863A04">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szCs w:val="24"/>
                <w:lang w:bidi="ar"/>
              </w:rPr>
              <w:t>开课平台</w:t>
            </w:r>
          </w:p>
        </w:tc>
        <w:tc>
          <w:tcPr>
            <w:tcW w:w="1281" w:type="dxa"/>
            <w:tcBorders>
              <w:top w:val="single" w:color="000000" w:sz="8" w:space="0"/>
              <w:left w:val="single" w:color="000000" w:sz="8" w:space="0"/>
              <w:bottom w:val="single" w:color="000000" w:sz="8" w:space="0"/>
              <w:right w:val="single" w:color="000000" w:sz="8" w:space="0"/>
            </w:tcBorders>
            <w:shd w:val="clear" w:color="auto" w:fill="auto"/>
          </w:tcPr>
          <w:p w14:paraId="055EED73">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szCs w:val="24"/>
                <w:lang w:bidi="ar"/>
              </w:rPr>
              <w:t>线上/线下</w:t>
            </w:r>
          </w:p>
        </w:tc>
      </w:tr>
      <w:tr w14:paraId="507E8791">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vAlign w:val="center"/>
          </w:tcPr>
          <w:p w14:paraId="7690D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公共选修课A类（人文社科）</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2B10A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大学生心理健康</w:t>
            </w:r>
          </w:p>
        </w:tc>
        <w:tc>
          <w:tcPr>
            <w:tcW w:w="1321" w:type="dxa"/>
            <w:vMerge w:val="restart"/>
            <w:tcBorders>
              <w:top w:val="single" w:color="000000" w:sz="8" w:space="0"/>
              <w:left w:val="single" w:color="auto" w:sz="8" w:space="0"/>
              <w:right w:val="single" w:color="000000" w:sz="8" w:space="0"/>
            </w:tcBorders>
            <w:shd w:val="clear" w:color="auto" w:fill="auto"/>
            <w:vAlign w:val="center"/>
          </w:tcPr>
          <w:p w14:paraId="626CDFB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智慧树</w:t>
            </w:r>
          </w:p>
        </w:tc>
        <w:tc>
          <w:tcPr>
            <w:tcW w:w="1281" w:type="dxa"/>
            <w:vMerge w:val="restart"/>
            <w:tcBorders>
              <w:top w:val="single" w:color="000000" w:sz="8" w:space="0"/>
              <w:left w:val="single" w:color="000000" w:sz="8" w:space="0"/>
              <w:right w:val="single" w:color="000000" w:sz="8" w:space="0"/>
            </w:tcBorders>
            <w:shd w:val="clear" w:color="auto" w:fill="auto"/>
            <w:vAlign w:val="center"/>
          </w:tcPr>
          <w:p w14:paraId="0245B4B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线上</w:t>
            </w:r>
          </w:p>
        </w:tc>
      </w:tr>
      <w:tr w14:paraId="6B495E14">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77619C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28A60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创践——大学生创新创业实务</w:t>
            </w:r>
          </w:p>
        </w:tc>
        <w:tc>
          <w:tcPr>
            <w:tcW w:w="1321" w:type="dxa"/>
            <w:vMerge w:val="continue"/>
            <w:tcBorders>
              <w:left w:val="single" w:color="auto" w:sz="8" w:space="0"/>
              <w:right w:val="single" w:color="000000" w:sz="8" w:space="0"/>
            </w:tcBorders>
            <w:shd w:val="clear" w:color="auto" w:fill="auto"/>
            <w:vAlign w:val="center"/>
          </w:tcPr>
          <w:p w14:paraId="76F1E3BA">
            <w:pPr>
              <w:widowControl/>
              <w:jc w:val="center"/>
              <w:textAlignment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3C258F7">
            <w:pPr>
              <w:jc w:val="center"/>
              <w:rPr>
                <w:rFonts w:ascii="宋体" w:hAnsi="宋体" w:eastAsia="宋体" w:cs="宋体"/>
                <w:color w:val="000000"/>
                <w:kern w:val="0"/>
                <w:sz w:val="20"/>
                <w:szCs w:val="20"/>
                <w:lang w:bidi="ar"/>
              </w:rPr>
            </w:pPr>
          </w:p>
        </w:tc>
      </w:tr>
      <w:tr w14:paraId="6040E28D">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388F3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w:t>
            </w:r>
            <w:bookmarkStart w:id="32" w:name="_GoBack"/>
            <w:bookmarkEnd w:id="32"/>
            <w:r>
              <w:rPr>
                <w:rFonts w:hint="eastAsia" w:ascii="宋体" w:hAnsi="宋体" w:eastAsia="宋体" w:cs="宋体"/>
                <w:i w:val="0"/>
                <w:iCs w:val="0"/>
                <w:color w:val="000000"/>
                <w:kern w:val="0"/>
                <w:sz w:val="20"/>
                <w:szCs w:val="20"/>
                <w:u w:val="none"/>
                <w:lang w:val="en-US" w:eastAsia="zh-CN" w:bidi="ar"/>
              </w:rPr>
              <w:t>课</w:t>
            </w:r>
            <w:r>
              <w:rPr>
                <w:rFonts w:hint="default" w:ascii="宋体" w:hAnsi="宋体" w:eastAsia="宋体" w:cs="宋体"/>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2BD0F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中国传统文化（西安交通大学）</w:t>
            </w:r>
          </w:p>
        </w:tc>
        <w:tc>
          <w:tcPr>
            <w:tcW w:w="1321" w:type="dxa"/>
            <w:vMerge w:val="continue"/>
            <w:tcBorders>
              <w:left w:val="single" w:color="auto" w:sz="8" w:space="0"/>
              <w:right w:val="single" w:color="000000" w:sz="8" w:space="0"/>
            </w:tcBorders>
            <w:shd w:val="clear" w:color="auto" w:fill="auto"/>
            <w:vAlign w:val="center"/>
          </w:tcPr>
          <w:p w14:paraId="3F59EE3E">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1DE398E">
            <w:pPr>
              <w:jc w:val="center"/>
              <w:rPr>
                <w:rFonts w:ascii="宋体" w:hAnsi="宋体" w:eastAsia="宋体" w:cs="宋体"/>
                <w:color w:val="000000"/>
                <w:kern w:val="0"/>
                <w:sz w:val="20"/>
                <w:szCs w:val="20"/>
                <w:lang w:bidi="ar"/>
              </w:rPr>
            </w:pPr>
          </w:p>
        </w:tc>
      </w:tr>
      <w:tr w14:paraId="7EC6E619">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009BA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0D9ED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公共关系与人际交往能力</w:t>
            </w:r>
          </w:p>
        </w:tc>
        <w:tc>
          <w:tcPr>
            <w:tcW w:w="1321" w:type="dxa"/>
            <w:vMerge w:val="continue"/>
            <w:tcBorders>
              <w:left w:val="single" w:color="auto" w:sz="8" w:space="0"/>
              <w:right w:val="single" w:color="000000" w:sz="8" w:space="0"/>
            </w:tcBorders>
            <w:shd w:val="clear" w:color="auto" w:fill="auto"/>
            <w:vAlign w:val="center"/>
          </w:tcPr>
          <w:p w14:paraId="759451E6">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553F5E78">
            <w:pPr>
              <w:jc w:val="center"/>
              <w:rPr>
                <w:rFonts w:ascii="宋体" w:hAnsi="宋体" w:eastAsia="宋体" w:cs="宋体"/>
                <w:color w:val="000000"/>
                <w:kern w:val="0"/>
                <w:sz w:val="20"/>
                <w:szCs w:val="20"/>
                <w:lang w:bidi="ar"/>
              </w:rPr>
            </w:pPr>
          </w:p>
        </w:tc>
      </w:tr>
      <w:tr w14:paraId="5F6D201E">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25322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33054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创新工程实践</w:t>
            </w:r>
          </w:p>
        </w:tc>
        <w:tc>
          <w:tcPr>
            <w:tcW w:w="1321" w:type="dxa"/>
            <w:vMerge w:val="continue"/>
            <w:tcBorders>
              <w:left w:val="single" w:color="auto" w:sz="8" w:space="0"/>
              <w:right w:val="single" w:color="000000" w:sz="8" w:space="0"/>
            </w:tcBorders>
            <w:shd w:val="clear" w:color="auto" w:fill="auto"/>
            <w:vAlign w:val="center"/>
          </w:tcPr>
          <w:p w14:paraId="6C4B17C0">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5BD26A3B">
            <w:pPr>
              <w:jc w:val="center"/>
              <w:rPr>
                <w:rFonts w:ascii="宋体" w:hAnsi="宋体" w:eastAsia="宋体" w:cs="宋体"/>
                <w:color w:val="000000"/>
                <w:kern w:val="0"/>
                <w:sz w:val="20"/>
                <w:szCs w:val="20"/>
                <w:lang w:bidi="ar"/>
              </w:rPr>
            </w:pPr>
          </w:p>
        </w:tc>
      </w:tr>
      <w:tr w14:paraId="6565C341">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06CE5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0EF1C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大学生劳动就业法律问题解读</w:t>
            </w:r>
          </w:p>
        </w:tc>
        <w:tc>
          <w:tcPr>
            <w:tcW w:w="1321" w:type="dxa"/>
            <w:vMerge w:val="continue"/>
            <w:tcBorders>
              <w:left w:val="single" w:color="auto" w:sz="8" w:space="0"/>
              <w:right w:val="single" w:color="000000" w:sz="8" w:space="0"/>
            </w:tcBorders>
            <w:shd w:val="clear" w:color="auto" w:fill="auto"/>
            <w:vAlign w:val="center"/>
          </w:tcPr>
          <w:p w14:paraId="7432FF45">
            <w:pPr>
              <w:widowControl/>
              <w:jc w:val="center"/>
              <w:textAlignment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D8CF204">
            <w:pPr>
              <w:jc w:val="center"/>
              <w:rPr>
                <w:rFonts w:ascii="宋体" w:hAnsi="宋体" w:eastAsia="宋体" w:cs="宋体"/>
                <w:color w:val="000000"/>
                <w:kern w:val="0"/>
                <w:sz w:val="20"/>
                <w:szCs w:val="20"/>
                <w:lang w:bidi="ar"/>
              </w:rPr>
            </w:pPr>
          </w:p>
        </w:tc>
      </w:tr>
      <w:tr w14:paraId="24EABC59">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0C355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50D18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敦煌的艺术</w:t>
            </w:r>
          </w:p>
        </w:tc>
        <w:tc>
          <w:tcPr>
            <w:tcW w:w="1321" w:type="dxa"/>
            <w:vMerge w:val="continue"/>
            <w:tcBorders>
              <w:left w:val="single" w:color="auto" w:sz="8" w:space="0"/>
              <w:right w:val="single" w:color="000000" w:sz="8" w:space="0"/>
            </w:tcBorders>
            <w:shd w:val="clear" w:color="auto" w:fill="auto"/>
            <w:vAlign w:val="center"/>
          </w:tcPr>
          <w:p w14:paraId="25DF8CC1">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7AB4D79">
            <w:pPr>
              <w:jc w:val="center"/>
              <w:rPr>
                <w:rFonts w:ascii="宋体" w:hAnsi="宋体" w:eastAsia="宋体" w:cs="宋体"/>
                <w:color w:val="000000"/>
                <w:kern w:val="0"/>
                <w:sz w:val="20"/>
                <w:szCs w:val="20"/>
                <w:lang w:bidi="ar"/>
              </w:rPr>
            </w:pPr>
          </w:p>
        </w:tc>
      </w:tr>
      <w:tr w14:paraId="41E9FA1A">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20F22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5A4082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演讲与口才</w:t>
            </w:r>
          </w:p>
        </w:tc>
        <w:tc>
          <w:tcPr>
            <w:tcW w:w="1321" w:type="dxa"/>
            <w:vMerge w:val="continue"/>
            <w:tcBorders>
              <w:left w:val="single" w:color="auto" w:sz="8" w:space="0"/>
              <w:right w:val="single" w:color="000000" w:sz="8" w:space="0"/>
            </w:tcBorders>
            <w:shd w:val="clear" w:color="auto" w:fill="auto"/>
            <w:vAlign w:val="center"/>
          </w:tcPr>
          <w:p w14:paraId="5FC68E65">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26A963CD">
            <w:pPr>
              <w:jc w:val="center"/>
              <w:rPr>
                <w:rFonts w:ascii="宋体" w:hAnsi="宋体" w:eastAsia="宋体" w:cs="宋体"/>
                <w:color w:val="000000"/>
                <w:kern w:val="0"/>
                <w:sz w:val="20"/>
                <w:szCs w:val="20"/>
                <w:lang w:bidi="ar"/>
              </w:rPr>
            </w:pPr>
          </w:p>
        </w:tc>
      </w:tr>
      <w:tr w14:paraId="585A99F3">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vAlign w:val="center"/>
          </w:tcPr>
          <w:p w14:paraId="70A9E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公共选修课A类（人文社科）</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073DE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伟大的《红楼梦》</w:t>
            </w:r>
          </w:p>
        </w:tc>
        <w:tc>
          <w:tcPr>
            <w:tcW w:w="1321" w:type="dxa"/>
            <w:vMerge w:val="continue"/>
            <w:tcBorders>
              <w:left w:val="single" w:color="auto" w:sz="8" w:space="0"/>
              <w:right w:val="single" w:color="000000" w:sz="8" w:space="0"/>
            </w:tcBorders>
            <w:shd w:val="clear" w:color="auto" w:fill="auto"/>
            <w:vAlign w:val="center"/>
          </w:tcPr>
          <w:p w14:paraId="731056D3">
            <w:pPr>
              <w:widowControl/>
              <w:jc w:val="center"/>
              <w:textAlignment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4A8BEDF7">
            <w:pPr>
              <w:jc w:val="center"/>
              <w:rPr>
                <w:rFonts w:ascii="宋体" w:hAnsi="宋体" w:eastAsia="宋体" w:cs="宋体"/>
                <w:color w:val="000000"/>
                <w:kern w:val="0"/>
                <w:sz w:val="20"/>
                <w:szCs w:val="20"/>
                <w:lang w:bidi="ar"/>
              </w:rPr>
            </w:pPr>
          </w:p>
        </w:tc>
      </w:tr>
      <w:tr w14:paraId="2947F010">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vAlign w:val="center"/>
          </w:tcPr>
          <w:p w14:paraId="32E5A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1909E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世界著名博物馆艺术经典</w:t>
            </w:r>
          </w:p>
        </w:tc>
        <w:tc>
          <w:tcPr>
            <w:tcW w:w="1321" w:type="dxa"/>
            <w:vMerge w:val="continue"/>
            <w:tcBorders>
              <w:left w:val="single" w:color="auto" w:sz="8" w:space="0"/>
              <w:right w:val="single" w:color="000000" w:sz="8" w:space="0"/>
            </w:tcBorders>
            <w:shd w:val="clear" w:color="auto" w:fill="auto"/>
            <w:vAlign w:val="center"/>
          </w:tcPr>
          <w:p w14:paraId="002DEF26">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5AC0C4BC">
            <w:pPr>
              <w:jc w:val="center"/>
              <w:rPr>
                <w:rFonts w:ascii="宋体" w:hAnsi="宋体" w:eastAsia="宋体" w:cs="宋体"/>
                <w:color w:val="000000"/>
                <w:kern w:val="0"/>
                <w:sz w:val="20"/>
                <w:szCs w:val="20"/>
                <w:lang w:bidi="ar"/>
              </w:rPr>
            </w:pPr>
          </w:p>
        </w:tc>
      </w:tr>
      <w:tr w14:paraId="345ECF02">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638DC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231CF8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中国古典诗词中的品格与修养</w:t>
            </w:r>
          </w:p>
        </w:tc>
        <w:tc>
          <w:tcPr>
            <w:tcW w:w="1321" w:type="dxa"/>
            <w:vMerge w:val="continue"/>
            <w:tcBorders>
              <w:left w:val="single" w:color="auto" w:sz="8" w:space="0"/>
              <w:right w:val="single" w:color="000000" w:sz="8" w:space="0"/>
            </w:tcBorders>
            <w:shd w:val="clear" w:color="auto" w:fill="auto"/>
            <w:vAlign w:val="center"/>
          </w:tcPr>
          <w:p w14:paraId="7B6E48F7">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E00E3A5">
            <w:pPr>
              <w:jc w:val="center"/>
              <w:rPr>
                <w:rFonts w:ascii="宋体" w:hAnsi="宋体" w:eastAsia="宋体" w:cs="宋体"/>
                <w:color w:val="000000"/>
                <w:kern w:val="0"/>
                <w:sz w:val="20"/>
                <w:szCs w:val="20"/>
                <w:lang w:bidi="ar"/>
              </w:rPr>
            </w:pPr>
          </w:p>
        </w:tc>
      </w:tr>
      <w:tr w14:paraId="175A0BCB">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vAlign w:val="center"/>
          </w:tcPr>
          <w:p w14:paraId="32D67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078062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创业管理（上海财经大学）</w:t>
            </w:r>
          </w:p>
        </w:tc>
        <w:tc>
          <w:tcPr>
            <w:tcW w:w="1321" w:type="dxa"/>
            <w:vMerge w:val="continue"/>
            <w:tcBorders>
              <w:left w:val="single" w:color="auto" w:sz="8" w:space="0"/>
              <w:right w:val="single" w:color="000000" w:sz="8" w:space="0"/>
            </w:tcBorders>
            <w:shd w:val="clear" w:color="auto" w:fill="auto"/>
            <w:vAlign w:val="center"/>
          </w:tcPr>
          <w:p w14:paraId="3335D2A4">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5891521">
            <w:pPr>
              <w:jc w:val="center"/>
              <w:rPr>
                <w:rFonts w:ascii="宋体" w:hAnsi="宋体" w:eastAsia="宋体" w:cs="宋体"/>
                <w:color w:val="000000"/>
                <w:kern w:val="0"/>
                <w:sz w:val="20"/>
                <w:szCs w:val="20"/>
                <w:lang w:bidi="ar"/>
              </w:rPr>
            </w:pPr>
          </w:p>
        </w:tc>
      </w:tr>
      <w:tr w14:paraId="6DAF3528">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vAlign w:val="center"/>
          </w:tcPr>
          <w:p w14:paraId="10B2B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6EA3C5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“非遗”之首——昆曲经典艺术欣赏</w:t>
            </w:r>
          </w:p>
        </w:tc>
        <w:tc>
          <w:tcPr>
            <w:tcW w:w="1321" w:type="dxa"/>
            <w:vMerge w:val="continue"/>
            <w:tcBorders>
              <w:left w:val="single" w:color="auto" w:sz="8" w:space="0"/>
              <w:right w:val="single" w:color="000000" w:sz="8" w:space="0"/>
            </w:tcBorders>
            <w:shd w:val="clear" w:color="auto" w:fill="auto"/>
            <w:vAlign w:val="center"/>
          </w:tcPr>
          <w:p w14:paraId="13B5CF71">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7D6F9782">
            <w:pPr>
              <w:jc w:val="center"/>
              <w:rPr>
                <w:rFonts w:ascii="宋体" w:hAnsi="宋体" w:eastAsia="宋体" w:cs="宋体"/>
                <w:color w:val="000000"/>
                <w:kern w:val="0"/>
                <w:sz w:val="20"/>
                <w:szCs w:val="20"/>
                <w:lang w:bidi="ar"/>
              </w:rPr>
            </w:pPr>
          </w:p>
        </w:tc>
      </w:tr>
      <w:tr w14:paraId="2761D3FE">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vAlign w:val="center"/>
          </w:tcPr>
          <w:p w14:paraId="6E70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1095C55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死亡文化与生死教育</w:t>
            </w:r>
          </w:p>
        </w:tc>
        <w:tc>
          <w:tcPr>
            <w:tcW w:w="1321" w:type="dxa"/>
            <w:vMerge w:val="continue"/>
            <w:tcBorders>
              <w:left w:val="single" w:color="auto" w:sz="8" w:space="0"/>
              <w:right w:val="single" w:color="000000" w:sz="8" w:space="0"/>
            </w:tcBorders>
            <w:shd w:val="clear" w:color="auto" w:fill="auto"/>
            <w:vAlign w:val="center"/>
          </w:tcPr>
          <w:p w14:paraId="6E789416">
            <w:pPr>
              <w:jc w:val="center"/>
              <w:rPr>
                <w:rFonts w:ascii="宋体" w:hAnsi="宋体" w:eastAsia="宋体" w:cs="宋体"/>
                <w:color w:val="000000"/>
                <w:kern w:val="0"/>
                <w:sz w:val="20"/>
                <w:szCs w:val="20"/>
                <w:lang w:bidi="ar"/>
              </w:rPr>
            </w:pPr>
          </w:p>
        </w:tc>
        <w:tc>
          <w:tcPr>
            <w:tcW w:w="1281" w:type="dxa"/>
            <w:vMerge w:val="continue"/>
            <w:tcBorders>
              <w:left w:val="single" w:color="000000" w:sz="8" w:space="0"/>
              <w:right w:val="single" w:color="000000" w:sz="8" w:space="0"/>
            </w:tcBorders>
            <w:shd w:val="clear" w:color="auto" w:fill="auto"/>
            <w:vAlign w:val="center"/>
          </w:tcPr>
          <w:p w14:paraId="1C25CDCC">
            <w:pPr>
              <w:jc w:val="center"/>
              <w:rPr>
                <w:rFonts w:ascii="宋体" w:hAnsi="宋体" w:eastAsia="宋体" w:cs="宋体"/>
                <w:color w:val="000000"/>
                <w:kern w:val="0"/>
                <w:sz w:val="20"/>
                <w:szCs w:val="20"/>
                <w:lang w:bidi="ar"/>
              </w:rPr>
            </w:pPr>
          </w:p>
        </w:tc>
      </w:tr>
      <w:tr w14:paraId="3E29F39A">
        <w:tblPrEx>
          <w:tblCellMar>
            <w:top w:w="0" w:type="dxa"/>
            <w:left w:w="108" w:type="dxa"/>
            <w:bottom w:w="0" w:type="dxa"/>
            <w:right w:w="108" w:type="dxa"/>
          </w:tblCellMar>
        </w:tblPrEx>
        <w:trPr>
          <w:trHeight w:val="680" w:hRule="exact"/>
          <w:jc w:val="center"/>
        </w:trPr>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14:paraId="6ACB6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公共选修课</w:t>
            </w:r>
            <w:r>
              <w:rPr>
                <w:rFonts w:hint="default" w:ascii="宋体" w:hAnsi="宋体" w:eastAsia="宋体" w:cs="宋体"/>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c>
          <w:tcPr>
            <w:tcW w:w="3459" w:type="dxa"/>
            <w:tcBorders>
              <w:top w:val="single" w:color="auto" w:sz="8" w:space="0"/>
              <w:left w:val="single" w:color="auto" w:sz="8" w:space="0"/>
              <w:bottom w:val="single" w:color="auto" w:sz="8" w:space="0"/>
              <w:right w:val="single" w:color="auto" w:sz="8" w:space="0"/>
            </w:tcBorders>
            <w:shd w:val="clear" w:color="auto" w:fill="auto"/>
            <w:vAlign w:val="center"/>
          </w:tcPr>
          <w:p w14:paraId="06414D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人工智能与科学之美</w:t>
            </w:r>
          </w:p>
        </w:tc>
        <w:tc>
          <w:tcPr>
            <w:tcW w:w="1321" w:type="dxa"/>
            <w:vMerge w:val="continue"/>
            <w:tcBorders>
              <w:left w:val="single" w:color="auto" w:sz="8" w:space="0"/>
              <w:bottom w:val="single" w:color="000000" w:sz="8" w:space="0"/>
              <w:right w:val="single" w:color="000000" w:sz="8" w:space="0"/>
            </w:tcBorders>
            <w:shd w:val="clear" w:color="auto" w:fill="auto"/>
            <w:vAlign w:val="center"/>
          </w:tcPr>
          <w:p w14:paraId="0BB49648">
            <w:pPr>
              <w:jc w:val="center"/>
              <w:rPr>
                <w:rFonts w:ascii="宋体" w:hAnsi="宋体" w:eastAsia="宋体" w:cs="宋体"/>
                <w:color w:val="000000"/>
                <w:kern w:val="0"/>
                <w:sz w:val="20"/>
                <w:szCs w:val="20"/>
                <w:lang w:bidi="ar"/>
              </w:rPr>
            </w:pPr>
          </w:p>
        </w:tc>
        <w:tc>
          <w:tcPr>
            <w:tcW w:w="1281" w:type="dxa"/>
            <w:vMerge w:val="continue"/>
            <w:tcBorders>
              <w:left w:val="single" w:color="000000" w:sz="8" w:space="0"/>
              <w:bottom w:val="single" w:color="000000" w:sz="8" w:space="0"/>
              <w:right w:val="single" w:color="000000" w:sz="8" w:space="0"/>
            </w:tcBorders>
            <w:shd w:val="clear" w:color="auto" w:fill="auto"/>
            <w:vAlign w:val="center"/>
          </w:tcPr>
          <w:p w14:paraId="710DF230">
            <w:pPr>
              <w:jc w:val="center"/>
              <w:rPr>
                <w:rFonts w:ascii="宋体" w:hAnsi="宋体" w:eastAsia="宋体" w:cs="宋体"/>
                <w:color w:val="000000"/>
                <w:kern w:val="0"/>
                <w:sz w:val="20"/>
                <w:szCs w:val="20"/>
                <w:lang w:bidi="ar"/>
              </w:rPr>
            </w:pPr>
          </w:p>
        </w:tc>
      </w:tr>
    </w:tbl>
    <w:p w14:paraId="139C5DA9">
      <w:pPr>
        <w:keepNext w:val="0"/>
        <w:keepLines w:val="0"/>
        <w:pageBreakBefore w:val="0"/>
        <w:numPr>
          <w:ilvl w:val="0"/>
          <w:numId w:val="0"/>
        </w:numPr>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b/>
          <w:bCs/>
          <w:sz w:val="24"/>
          <w:szCs w:val="24"/>
          <w:lang w:val="en-US" w:eastAsia="zh-CN"/>
        </w:rPr>
      </w:pPr>
    </w:p>
    <w:p w14:paraId="6F2D3FDA">
      <w:pPr>
        <w:keepNext w:val="0"/>
        <w:keepLines w:val="0"/>
        <w:pageBreakBefore w:val="0"/>
        <w:numPr>
          <w:ilvl w:val="0"/>
          <w:numId w:val="1"/>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大学生心理健康</w:t>
      </w:r>
    </w:p>
    <w:p w14:paraId="208319DA">
      <w:pPr>
        <w:keepNext w:val="0"/>
        <w:keepLines w:val="0"/>
        <w:pageBreakBefore w:val="0"/>
        <w:numPr>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15E6A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left="0" w:right="0"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i w:val="0"/>
          <w:iCs w:val="0"/>
          <w:caps w:val="0"/>
          <w:color w:val="auto"/>
          <w:spacing w:val="0"/>
          <w:sz w:val="24"/>
          <w:szCs w:val="24"/>
          <w:shd w:val="clear" w:fill="FFFFFF"/>
        </w:rPr>
        <w:t>只有优异的成绩，却不懂得与人交往，是个寂寞的人；只有过人的智商，却不懂得控制情绪，是个危险的人；只有超人的推理，却不了解自己，是个迷惘的人。本课程由吉林大学、北京大学、清华大学等多所985高校的多位专注研究大学生心理健康的教授、专家、学者合力打造，旨在让学生享有专业化、层次化的走心、温情的心理健康课程体验，使学生能够正视生命的尊严和来自心灵的孤独，接纳自己，关爱他人，促进个人发展与社会和谐。</w:t>
      </w:r>
    </w:p>
    <w:p w14:paraId="675D8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left="0" w:right="0" w:firstLine="48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i w:val="0"/>
          <w:iCs w:val="0"/>
          <w:caps w:val="0"/>
          <w:color w:val="auto"/>
          <w:spacing w:val="0"/>
          <w:sz w:val="24"/>
          <w:szCs w:val="24"/>
          <w:shd w:val="clear" w:fill="FFFFFF"/>
        </w:rPr>
        <w:t>第一，对大学生加强心理健康教育是时代发展的需要 随着时代的发展和社会竞争的日益激烈，大学生面临的学习、生活、情感和就业压力明显增大，不断凸现的心理问题已明显影响大学生的智能素质、人格成长及身体健康。“没有任何一种灾难能像心理危机那样带给人们持续而深刻的痛苦”, 严峻的现实呼唤必须加强对大学生的心理健康教育。第二，大学生心理健康教育是党和国家高度重视的系统工程以人为本，促进学生和谐发展，己成为新时期教育的新理念。教育部、卫生部、共青团中央颁发的《关于进一步加强和改进大学生心理健康教育的意见》指出：加强和改进大学生心理健康教育是新形势下全面贯彻党的教育方针、推进素质教育的重要举措，是促进大学生健康成长、培养高素质合格人才的重要途径，是加强和改进大学生思想政治教育的重要任务。第三，高校优质资源分布不均呼唤高质量的心理健康共享课程从全国高校整体情况来看，相当一部分高校师资以及硬件条件无法满足学生日益增长的心理发展需求，因此，利用新型教学技术，整合国内各高校优质心理健康教育资源，着力建设心理健康通识教育跨校联合大课《大学生心理健康》慕课，就成为新形势下切实推进全国大学生心理品质可持续性健康发展的必要举措。</w:t>
      </w:r>
    </w:p>
    <w:p w14:paraId="76F3C047">
      <w:pPr>
        <w:keepNext w:val="0"/>
        <w:keepLines w:val="0"/>
        <w:pageBreakBefore w:val="0"/>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p>
    <w:p w14:paraId="00287DA8">
      <w:pPr>
        <w:keepNext w:val="0"/>
        <w:keepLines w:val="0"/>
        <w:pageBreakBefore w:val="0"/>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rPr>
      </w:pP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i w:val="0"/>
          <w:iCs w:val="0"/>
          <w:caps w:val="0"/>
          <w:color w:val="auto"/>
          <w:spacing w:val="0"/>
          <w:sz w:val="24"/>
          <w:szCs w:val="24"/>
          <w:shd w:val="clear" w:fill="FFFFFF"/>
        </w:rPr>
        <w:t>创践——大学生创新创业实务</w:t>
      </w:r>
    </w:p>
    <w:p w14:paraId="349195E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3CC48DB4">
      <w:pPr>
        <w:keepNext w:val="0"/>
        <w:keepLines w:val="0"/>
        <w:pageBreakBefore w:val="0"/>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i w:val="0"/>
          <w:iCs w:val="0"/>
          <w:caps w:val="0"/>
          <w:color w:val="auto"/>
          <w:spacing w:val="0"/>
          <w:sz w:val="24"/>
          <w:szCs w:val="24"/>
          <w:shd w:val="clear" w:fill="FFFFFF"/>
        </w:rPr>
        <w:t>《创践——大学生创新创业实务》是由中国海洋大学牵头，南开大学、四川大学、厦门大学共同制作，海尔集团、泰有投资参与建设的创新创业普适性课程，秉承“创践精业 立人笃行”的育人理念，引导学生通过创新性实践提升创业精神，开创事业和人生新境界，获评首批国家精品在线开放课程、国家一流课程，在创新创业类慕课中选课高校量和学生数均排名全国第一，入选人社部首届全国创业就业展示交流周“十大创业培训项目”，是高校唯一入选且被列为全国重点推广项目，双创教育经验被纳入《创业中国》案例集，获评山东省教学成果一等奖。</w:t>
      </w:r>
    </w:p>
    <w:p w14:paraId="79CE4DB0">
      <w:pPr>
        <w:keepNext w:val="0"/>
        <w:keepLines w:val="0"/>
        <w:pageBreakBefore w:val="0"/>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i w:val="0"/>
          <w:iCs w:val="0"/>
          <w:caps w:val="0"/>
          <w:color w:val="auto"/>
          <w:spacing w:val="0"/>
          <w:sz w:val="24"/>
          <w:szCs w:val="24"/>
          <w:shd w:val="clear" w:fill="FFFFFF"/>
        </w:rPr>
        <w:t>1. 教育部要求调整各级各类学生培养方案，必须开设创新创业课程；2.目前高校创新创业教育存在创新精神、创业能力培养脱节的现象，将创新教育与创业教育割裂开来；3. 大学生是“大众创业，万众创新”的生力军，具备创业精神已经成为当代大学生的内在需求。</w:t>
      </w:r>
    </w:p>
    <w:p w14:paraId="3997EF32">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宋体" w:cs="Times New Roman"/>
          <w:b w:val="0"/>
          <w:bCs w:val="0"/>
          <w:sz w:val="24"/>
          <w:szCs w:val="24"/>
          <w:lang w:val="en-US" w:eastAsia="zh-CN"/>
        </w:rPr>
      </w:pPr>
    </w:p>
    <w:p w14:paraId="5389E040">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中国传统文化（西安交通大学）</w:t>
      </w:r>
    </w:p>
    <w:p w14:paraId="1645C419">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7D2710EA">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sz w:val="24"/>
          <w:szCs w:val="24"/>
          <w:lang w:val="en-US" w:eastAsia="zh-CN"/>
        </w:rPr>
        <w:t>课程以中国传统文化的基本精神为主线，分模块，从多层次、多角度展示了儒道释文化，史学、文学、音乐、绘画、书法等中国传统文化的主要内容和特色，最后归结到世界格局中的中国文化和新世纪中国文化的展望，极大拓展文化素质教育的学科领域，发挥整体效应，形成了浓厚的人文氛围。</w:t>
      </w:r>
    </w:p>
    <w:p w14:paraId="6F70C092">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过去是未来的钥匙。我们将带你领略儒道佛的精髓，传统哲学的睿智，史学文化的凝重，文学艺术的灿烂，古典美学的魅力……一起漫步于历史的斑斑长路，沉浸于文化的浩浩长汩，从五千年华夏文明中汲取智慧。</w:t>
      </w:r>
    </w:p>
    <w:p w14:paraId="4206119C">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p>
    <w:p w14:paraId="55170AE0">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val="en-US" w:eastAsia="zh-CN"/>
        </w:rPr>
        <w:t>公共关系与人际交往能力</w:t>
      </w:r>
    </w:p>
    <w:p w14:paraId="7F886B6D">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7153D897">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sz w:val="24"/>
          <w:szCs w:val="24"/>
          <w:lang w:val="en-US" w:eastAsia="zh-CN"/>
        </w:rPr>
        <w:t>构建和谐社会，和谐人与人的关系是重中之重。由于人与人的空间距离越来越小；人与人的心灵空间距离却越来越大，阻碍了人际关系的和谐发展；克服人际交往障碍，提升人际交往能力是当前高等教育题中之义；聆听同济大学、复旦大学、华东师范大学等专家教授对公共关系中的人际交往和人际交往中的公共关系的详细解读；教会学生解析公共关系，透视人际交往，提高公关能力，优化公共关系；启发学生的社会责任感，奉献社会，发展自己。</w:t>
      </w:r>
    </w:p>
    <w:p w14:paraId="3602DD91">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1 构建和谐社会，和谐人与人的关系是重中之重随着人类交往的发展，全球化、信息化、网络化态势发展迅猛，人与人的空间距离越来越小；但由于生活节奏的加快，生活越来越便捷化，人的主体意识、独立意识越来越强，人与人的心灵空间距离却越来越大。人与人之间的“隔阂”犹如一条看不见的鸿沟，阻碍了人际关系的和谐发展。构建和谐社会，和谐人与人的关系是重中之重。2 人际交往是生活的必修课，是人生的重要音符基于当代大学生人际交往能力偏弱和构建社会主义和谐社会的需要的实际，我们认为，培育提升大学生人际交往能力，是当前高等教育题中之义。公共关系准则，运用于人际交往之中，能够建立发展更良好、更健康、更阳光的人际关系，也更有利于社会和谐。人的交际交往能力，不是天生的，是靠学习训练养成的。良好的人际关系，是人生成功的助推器，也是人愉悦身心的营养剂，更是社会和谐的润滑剂。</w:t>
      </w:r>
    </w:p>
    <w:p w14:paraId="63B68E2C">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p>
    <w:p w14:paraId="601E4C9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创新工程实践</w:t>
      </w:r>
    </w:p>
    <w:p w14:paraId="5091E21B">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7043BF94">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sz w:val="24"/>
          <w:szCs w:val="24"/>
          <w:lang w:val="en-US" w:eastAsia="zh-CN"/>
        </w:rPr>
        <w:t>惟创新者进，惟创新者强，惟创新者胜。2015中国全面进入创新创业之年，北京大学、东西部联盟与智慧树网联合开发《创新工程实践》共享课程。丰富、有趣、严格、带有挑战性的团队合作，创新传统理论教授模式，打造真正的创意大课堂！</w:t>
      </w:r>
    </w:p>
    <w:p w14:paraId="6F678C87">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课程背景：</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鼓励原始创新、建设创新性国家已经成为我国的基本国策和主要建设目标，我们在对学生的培养中始终缺乏比较好的针对学生创新能力不足、创新热情不高的课程，结合北京大学多年组织iCAN 大赛（iCAN大学生创新创业大赛，www.g-ican.com  ）的经验以及长期从事工程实践课程的教学实践，由张海霞教授，联合信息学院、工学院、光华管理学院、教育学院、信管系等9位青年骨干教师以及学校创新导师，共同开设“创新工程实践”全校公选课，是少有的全方位培养学生创新能力的公选课程，对学生进行全链条的创新能力培养，并用项目管理的方法来实际锻炼和提升学生的实践能力。</w:t>
      </w:r>
    </w:p>
    <w:p w14:paraId="006EFB06">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p>
    <w:p w14:paraId="03E2D6E7">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lang w:val="en-US" w:eastAsia="zh-CN"/>
        </w:rPr>
        <w:t>大学生劳动就业法律问题解读</w:t>
      </w:r>
    </w:p>
    <w:p w14:paraId="57EC0E95">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398D4E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left="0" w:right="0"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同学们，你是否为了找工作而焦头烂额？拿到offer时是不是十分欣喜？但在就业过程中，你知道offer、三方协议、劳动合同签订中暗藏的风险吗？你知道就业中雇佣你的用人单位的主要类型和主要用工模式（如全日制、非全日制、劳务派遣、人事代理，劳务外包）的特点吗？你知道如何渡过职场试用期、从而真正成为职场人士的技巧吗？本课程将让你了解和掌握上述问题，让你轻松化解风险，为你成功顺利就业助一臂之力。</w:t>
      </w:r>
    </w:p>
    <w:p w14:paraId="09C4B6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left="0" w:right="0" w:firstLine="48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大学生在就业过程中将要面临的一系列法律问题，而了解和掌握劳动法的一般原理和基本知识，以及劳动就业中常见的劳动法律问题，不仅对就业有直接的帮助，而且对大学生依法维护自身合法权益都具有重要的意义。</w:t>
      </w:r>
    </w:p>
    <w:p w14:paraId="20B20B7A">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default" w:ascii="Times New Roman" w:hAnsi="Times New Roman" w:eastAsia="宋体" w:cs="Times New Roman"/>
          <w:b w:val="0"/>
          <w:bCs w:val="0"/>
          <w:sz w:val="24"/>
          <w:szCs w:val="24"/>
          <w:lang w:val="en-US" w:eastAsia="zh-CN"/>
        </w:rPr>
      </w:pPr>
    </w:p>
    <w:p w14:paraId="66220D5D">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lang w:val="en-US" w:eastAsia="zh-CN"/>
        </w:rPr>
        <w:t>敦煌的艺术</w:t>
      </w:r>
    </w:p>
    <w:p w14:paraId="0009E902">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6369876E">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敦煌石窟历经千年的持续营建，其丰富性和系统性是现存文化遗产中绝无仅有的。敦煌艺术包含了中国古代宗教、历史、艺术、科技等多方面文化内涵，是中国传统文化的一个杰出代表。</w:t>
      </w:r>
    </w:p>
    <w:p w14:paraId="65684DB2">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1、敦煌距今已有2000多年历史，是古代中西文化汇聚、碰撞、交融的重要场所；2、莫高窟在敦煌石窟中首屈一指，是世界历史文化的遗产，是国家精神文化的积淀，是民族生生不息的根基；3、时代更迭、洞窟受损，现代数字技术高保真地保存真实的敦煌艺术，向后世再现敦煌文化；4、敦煌文化和艺术的保护和弘扬是几代人的不断努力，”敦煌学”的传承需要中国当代大学生继往开来。</w:t>
      </w:r>
    </w:p>
    <w:p w14:paraId="007103E5">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default" w:ascii="Times New Roman" w:hAnsi="Times New Roman" w:eastAsia="宋体" w:cs="Times New Roman"/>
          <w:b w:val="0"/>
          <w:bCs w:val="0"/>
          <w:sz w:val="24"/>
          <w:szCs w:val="24"/>
          <w:lang w:val="en-US" w:eastAsia="zh-CN"/>
        </w:rPr>
      </w:pPr>
    </w:p>
    <w:p w14:paraId="2A5A969C">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8.</w:t>
      </w:r>
      <w:r>
        <w:rPr>
          <w:rFonts w:hint="default" w:ascii="Times New Roman" w:hAnsi="Times New Roman" w:eastAsia="宋体" w:cs="Times New Roman"/>
          <w:b/>
          <w:bCs/>
          <w:sz w:val="24"/>
          <w:szCs w:val="24"/>
          <w:lang w:val="en-US" w:eastAsia="zh-CN"/>
        </w:rPr>
        <w:t>演讲与口才</w:t>
      </w:r>
    </w:p>
    <w:p w14:paraId="6BD93E00">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学分：1</w:t>
      </w:r>
    </w:p>
    <w:p w14:paraId="153C84F8">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演讲与口才是一个人素养、能力和智慧的全面而综合的反映。随着时代的进步和社会文明的发展，演讲与口才能力已成为现代社会人们生存和竞争的必要条件之一。凡欲成大事业者，无不努力锻炼、提高演讲能力；凡已成大事业者，无不推崇演讲能力的重要性。人人会演讲，个个有口才，这是当代大学生最基本的素质要求。我们相信，《演讲与口才》课程，一定会变成大学生修养心灵的讲习所、焕发信念的励志课堂。</w:t>
      </w:r>
    </w:p>
    <w:p w14:paraId="5A586B87">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社会需要沟通，沟通需要交流。而人与人之间交流思想、沟通感情最直接、最方便的途径就是语言。我们天天在说话，但是未必人人都能把话说好。想要在社交场上春风得意吗？想要在职场上如鱼得水吗？那就需要掌握口才的技巧，掌握演讲的本领。</w:t>
      </w:r>
    </w:p>
    <w:p w14:paraId="3F34EFE3">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shd w:val="clear" w:fill="FFFFFF"/>
          <w:lang w:val="en-US" w:eastAsia="zh-CN"/>
        </w:rPr>
      </w:pPr>
    </w:p>
    <w:p w14:paraId="619EBC0E">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伟大的《红楼梦》</w:t>
      </w:r>
    </w:p>
    <w:p w14:paraId="74474822">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1BAB4ED9">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一块历经悲欢离合、兴衰际遇的石头；一座无所不包、真假莫辨的园林；一次释梦解味的精神旅行。</w:t>
      </w:r>
    </w:p>
    <w:p w14:paraId="702C9DD4">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《红楼梦》是中国古典小说的顶峰，具有极高的审美价值。《红楼梦》是中国传统文化的百科全书，具有极丰富的文化内涵。《红楼梦》以艺术化的方式，深刻地反映了中国人的生活世界、情感世界。</w:t>
      </w:r>
    </w:p>
    <w:p w14:paraId="681644A6">
      <w:pPr>
        <w:keepNext w:val="0"/>
        <w:keepLines w:val="0"/>
        <w:pageBreakBefore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b w:val="0"/>
          <w:bCs w:val="0"/>
          <w:sz w:val="24"/>
          <w:szCs w:val="24"/>
          <w:lang w:val="en-US" w:eastAsia="zh-CN"/>
        </w:rPr>
      </w:pPr>
    </w:p>
    <w:p w14:paraId="147EAB19">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10.</w:t>
      </w:r>
      <w:r>
        <w:rPr>
          <w:rFonts w:hint="default" w:ascii="Times New Roman" w:hAnsi="Times New Roman" w:eastAsia="宋体" w:cs="Times New Roman"/>
          <w:b/>
          <w:bCs/>
          <w:sz w:val="24"/>
          <w:szCs w:val="24"/>
          <w:lang w:val="en-US" w:eastAsia="zh-CN"/>
        </w:rPr>
        <w:t>世界著名博物馆艺术经典</w:t>
      </w:r>
    </w:p>
    <w:p w14:paraId="40C2CA4A">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31E98861">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世界著名博物馆艺术经典》是一门介绍全球知名博物馆及其藏品的艺术课程。该课程旨在通过理论与实际考察相结合的方式，使学生深入了解巴黎卢浮宫博物馆、大都会艺术博物馆、英国国家画廊及梵蒂冈博物馆等世界级博物馆的艺术精品。课程涵盖博物馆的历史背景、建筑特点、主要收藏及代表作品等内容，让学生掌握艺术品鉴赏的基本技能。</w:t>
      </w:r>
    </w:p>
    <w:p w14:paraId="6EDA016D">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博物馆是社会的记忆器官，是自然、人文、历史的基因库；引领学生走进世界各国的著名博物馆，就是引领大学生学习一部浓缩的、生动的人类文明发展史；世界各国的著名博物馆集中了人类历史上的艺术经典，体现了历史上各个时期、各个民族的审美趣味和精神追求。</w:t>
      </w:r>
    </w:p>
    <w:p w14:paraId="3F0BDD7A">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eastAsia" w:ascii="Times New Roman" w:hAnsi="Times New Roman" w:eastAsia="宋体" w:cs="Times New Roman"/>
          <w:b/>
          <w:bCs/>
          <w:sz w:val="24"/>
          <w:szCs w:val="24"/>
          <w:lang w:val="en-US" w:eastAsia="zh-CN"/>
        </w:rPr>
      </w:pPr>
    </w:p>
    <w:p w14:paraId="6D62714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lang w:val="en-US" w:eastAsia="zh-CN"/>
        </w:rPr>
        <w:t>中国古典诗词中的品格与修养</w:t>
      </w:r>
    </w:p>
    <w:p w14:paraId="6E6F8911">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055F83A0">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希望你看到桃花时不是只会说：哎呀，这桃花开得真漂亮啊。而是能说出“桃之夭夭，灼灼其华”，希望你腹有诗书气自华，希望“生活不只是眼前的苟且，还有诗和远方”，希望大家跟随叶嘉莹先生的学生张静老师一起去体味我们中国古典诗词中，那种生生不已的感发之力。赏中华诗词、寻文化基因、品生活之美</w:t>
      </w:r>
    </w:p>
    <w:p w14:paraId="67C289DD">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中国古典诗词作为中国优秀传统文化的精髓，是中华民族代代相传的文化瑰宝。</w:t>
      </w:r>
    </w:p>
    <w:p w14:paraId="1C2DBBCA">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default" w:ascii="Times New Roman" w:hAnsi="Times New Roman" w:eastAsia="宋体" w:cs="Times New Roman"/>
          <w:b w:val="0"/>
          <w:bCs w:val="0"/>
          <w:sz w:val="24"/>
          <w:szCs w:val="24"/>
          <w:lang w:val="en-US" w:eastAsia="zh-CN"/>
        </w:rPr>
      </w:pPr>
    </w:p>
    <w:p w14:paraId="1C217AA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12.</w:t>
      </w:r>
      <w:r>
        <w:rPr>
          <w:rFonts w:hint="default" w:ascii="Times New Roman" w:hAnsi="Times New Roman" w:eastAsia="宋体" w:cs="Times New Roman"/>
          <w:b/>
          <w:bCs/>
          <w:sz w:val="24"/>
          <w:szCs w:val="24"/>
          <w:lang w:val="en-US" w:eastAsia="zh-CN"/>
        </w:rPr>
        <w:t>创业管理（上海财经大学）</w:t>
      </w:r>
    </w:p>
    <w:p w14:paraId="3C0A23A0">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2233E474">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创业不再是离经叛道的选择，而是青年人除了传统职业生涯之外的正常的生活方式。优质共享课《创业管理》由上海财经大学刘志阳教授发起，联合中央财经大学、复旦大学、知名风投人共同打造。本课程融创业知识与商业实践为一体，让学生能亲身体验创业的流程，同时为学生与创业实干家们搭建了沟通的桥梁。使学生意识到创业不只停留在理论上，实践更重要！ 本课程最大的特点是汇聚管理创业理论和实践的诸多名家围绕创业管理的经典问题进行阐释，同时配合线下知名投资人展开创业计划竞赛，相信随着你的学习和实践你将获得创业实践能力的提升。</w:t>
      </w:r>
    </w:p>
    <w:p w14:paraId="417DC95E">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如何培养大学生的创新精神和创业能力？目前市面上的相关课程大都围绕创业启蒙和指导来展开，重理论而轻实践。</w:t>
      </w:r>
    </w:p>
    <w:p w14:paraId="1D406B73">
      <w:pPr>
        <w:keepNext w:val="0"/>
        <w:keepLines w:val="0"/>
        <w:pageBreakBefore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b w:val="0"/>
          <w:bCs w:val="0"/>
          <w:sz w:val="24"/>
          <w:szCs w:val="24"/>
          <w:lang w:val="en-US" w:eastAsia="zh-CN"/>
        </w:rPr>
      </w:pPr>
    </w:p>
    <w:p w14:paraId="576F355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lang w:val="en-US" w:eastAsia="zh-CN"/>
        </w:rPr>
        <w:t>“非遗”之首——昆曲经典艺术欣赏</w:t>
      </w:r>
    </w:p>
    <w:p w14:paraId="6C42C5A6">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131F35FD">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传承六百年的昆曲艺术，被称为“百戏之祖”“百戏之师”。它是我国古典表演艺术的经典，是我们民族文化艺术高度发展的成果、结晶。2001年，昆曲被联合国教科文组织列入首批“人类口头和非物质遗产代表作”，也是中国第一例。</w:t>
      </w:r>
    </w:p>
    <w:p w14:paraId="30FF0999">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1、党中央领导人对昆曲艺术的重视。2015年，习近平主席在访问英国期间曾经提议中英两国人民共同纪念逝世四百周年的两位伟大的剧作家——莎士比亚和汤显祖，增加两国人民的理解，不但让国人理解自己民族的优秀传统艺术，也让昆曲成为一个走向世界的国家品牌。 2、互联网思维助力昆曲戏剧课程的影响。北京大学的昆曲艺术系列课程的开设已经进入第六个年头，距离青春版《牡丹亭》盛世也已十个年头，如何继续点燃学生的昆曲学习热情，如何利用新的学习媒介将昆曲艺术推广到西部大学生群体中去，网络平台自然当仁不让！既适应了当前学生移动互联网的生活方式，又将昆曲系列课程以新的面貌呈现到更广大的学生空间中去。 3、慕课方式推动美育走向更广阔的空间。昆曲艺术作为美育中的一个门类，对提升学生的审美情趣和艺术情操有着潜移默化的影响，借助慕课的方式可以帮助更多教育资源匮乏的地区和学校分享优质的教育资源和课程资源，以提高他们的审美水平和精神境界。</w:t>
      </w:r>
    </w:p>
    <w:p w14:paraId="03EBC490">
      <w:pPr>
        <w:keepNext w:val="0"/>
        <w:keepLines w:val="0"/>
        <w:pageBreakBefore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b w:val="0"/>
          <w:bCs w:val="0"/>
          <w:sz w:val="24"/>
          <w:szCs w:val="24"/>
          <w:lang w:val="en-US" w:eastAsia="zh-CN"/>
        </w:rPr>
      </w:pPr>
    </w:p>
    <w:p w14:paraId="526189CE">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val="en-US" w:eastAsia="zh-CN"/>
        </w:rPr>
        <w:t>死亡文化与生死教育</w:t>
      </w:r>
    </w:p>
    <w:p w14:paraId="044BD02E">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67AF2ED4">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kern w:val="0"/>
          <w:sz w:val="24"/>
          <w:szCs w:val="24"/>
          <w:shd w:val="clear" w:fill="FFFFFF"/>
          <w:lang w:val="en-US" w:eastAsia="zh-CN" w:bidi="ar"/>
        </w:rPr>
        <w:t>课程介绍：</w:t>
      </w: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未知死，焉知生？害怕死亡，不去谈论死亡，并不能避免我们的死亡。而对死亡问题的逃避却会造成我们对死亡的无知和对人生缺乏规划，当死亡到来时，我们就会不知所措。学习死亡，懂得死亡，就是学习生活，懂得生活，就是学习如何创造有价值、有意义的幸福圆满人生。死亡教育，名为谈死，实为论生！</w:t>
      </w:r>
    </w:p>
    <w:p w14:paraId="728EE90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b w:val="0"/>
          <w:bCs w:val="0"/>
          <w:i w:val="0"/>
          <w:iCs w:val="0"/>
          <w:caps w:val="0"/>
          <w:color w:val="auto"/>
          <w:spacing w:val="0"/>
          <w:sz w:val="24"/>
          <w:szCs w:val="24"/>
          <w:shd w:val="clear" w:fill="FFFFFF"/>
          <w:lang w:eastAsia="zh-CN"/>
        </w:rPr>
        <w:t>中国人讳言死亡，但是却并不能避免死亡以及死亡带来的哀伤与打击。通过对死亡文化的介绍和生死教育，可以培养学生正确的价值观念，帮助学生树立健康的人生观和死亡观，使学生学会正确对待和处理人生中的挫折和偶发事件。同时，死亡教育还会为学生提供面对亲人甚至本人的死亡时之重要的心理支持。死亡对于每个人都是不可避免的事情。但是多数人在死亡面前表现出恐惧、战栗、心绪不宁甚至精神和行为失控状态。这种心态是由于人们对死亡缺乏心理准备和心理支持而造成的。此外，对死亡的非理性态度还表现在许多人对待生命的草率态度——自杀。自杀是15至34岁人群的重要死因之一。所以对于大学生而言，树立科学的人生观和死亡观是至关重要的。16世纪法国作家蒙田告诉人们：谁教会人死亡，就是教会人生活。但是在中国，文化传统的原因使人们总是倾向于回避死亡话题。这显然不是明智的态度。死亡教育可以帮助人们正确地面对自我之死和他人之死，理解生与死是人类自然生命历程的必然组成部分，从而树立科学、合理、健康的死亡观；可以消除人们对死亡的恐惧、焦虑等心理现象，教育人们坦然面对死亡；使人们思索各种死亡问题，学习和探讨死亡的心理过程以及死亡对人们的心理影响，为处理自我之死、亲人之死做好心理上的准备；可以勇敢地正视生老病死的问题，加深人们对死亡的深刻认识，并将这种认识转化为珍惜生命、珍爱健康的强大动力，进而提高自己的生命和生活质量；使更多的人认识到人生包括优生、优活、优死三大阶段，以便使人们能客观地面对死亡，有意识地提高生命质量。本课程的开设，还可以以人生有死的必然性唤起大学生人生的紧迫感，从而对自己的人生作出科学规划，树立人生目标，对人生采取积极态度，活出有价值、有意义的圆满人生！ 简单说来，之所以要进行死亡教育，是因为： 1、缺乏对死亡的关照使得人们难以树立起恰当的生活目标； 2、重生轻死的中华文化传统也使大学生在社会生活中缺乏接受死亡教育的机会； 3、大学生中存在不尊重生命的现象。对大学生进行死亡教育十分迫切。</w:t>
      </w:r>
    </w:p>
    <w:p w14:paraId="7E15124A">
      <w:pPr>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default" w:ascii="Times New Roman" w:hAnsi="Times New Roman" w:eastAsia="宋体" w:cs="Times New Roman"/>
          <w:b w:val="0"/>
          <w:bCs w:val="0"/>
          <w:sz w:val="24"/>
          <w:szCs w:val="24"/>
          <w:lang w:val="en-US" w:eastAsia="zh-CN"/>
        </w:rPr>
      </w:pPr>
    </w:p>
    <w:p w14:paraId="521C18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sz w:val="24"/>
          <w:szCs w:val="24"/>
          <w:shd w:val="clear" w:fill="FFFFFF"/>
          <w:lang w:val="en-US" w:eastAsia="zh-CN"/>
        </w:rPr>
        <w:t>15.</w:t>
      </w:r>
      <w:r>
        <w:rPr>
          <w:rFonts w:hint="default" w:ascii="Times New Roman" w:hAnsi="Times New Roman" w:eastAsia="宋体" w:cs="Times New Roman"/>
          <w:b/>
          <w:bCs/>
          <w:i w:val="0"/>
          <w:iCs w:val="0"/>
          <w:caps w:val="0"/>
          <w:color w:val="auto"/>
          <w:spacing w:val="0"/>
          <w:sz w:val="24"/>
          <w:szCs w:val="24"/>
          <w:shd w:val="clear" w:fill="FFFFFF"/>
        </w:rPr>
        <w:t>人工智能与科学之美</w:t>
      </w:r>
    </w:p>
    <w:p w14:paraId="18C497CD">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学分：2</w:t>
      </w:r>
    </w:p>
    <w:p w14:paraId="5D4AC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left="0" w:right="0" w:firstLine="482"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i w:val="0"/>
          <w:iCs w:val="0"/>
          <w:caps w:val="0"/>
          <w:color w:val="auto"/>
          <w:spacing w:val="0"/>
          <w:sz w:val="24"/>
          <w:szCs w:val="24"/>
          <w:shd w:val="clear" w:fill="FFFFFF"/>
        </w:rPr>
        <w:t>课程介绍</w:t>
      </w:r>
      <w:r>
        <w:rPr>
          <w:rFonts w:hint="default" w:ascii="Times New Roman" w:hAnsi="Times New Roman" w:eastAsia="宋体" w:cs="Times New Roman"/>
          <w:b/>
          <w:bCs/>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随着科技的不断发展，科幻小说和电影中的生活方式、场景和工具正在人工智能的搭载下，从各个角度渗透进我们的日常生活，并带动着科技进步和产业升级。本课程通过讲述人工智能的发展历程、主要技术、应用领域，使学生具备把握人工智能发展趋势、基本原理与应用开发的能力，并能从人工智能的发展与应用中感受科学之美。</w:t>
      </w:r>
    </w:p>
    <w:p w14:paraId="4B502E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20" w:lineRule="exact"/>
        <w:ind w:left="0" w:right="0" w:firstLine="482" w:firstLineChars="200"/>
        <w:jc w:val="both"/>
        <w:textAlignment w:val="auto"/>
        <w:rPr>
          <w:rFonts w:hint="default" w:ascii="Times New Roman" w:hAnsi="Times New Roman" w:eastAsia="宋体" w:cs="Times New Roman"/>
          <w:b/>
          <w:bCs/>
          <w:i w:val="0"/>
          <w:iCs w:val="0"/>
          <w:caps w:val="0"/>
          <w:color w:val="auto"/>
          <w:spacing w:val="0"/>
          <w:sz w:val="24"/>
          <w:szCs w:val="24"/>
          <w:shd w:val="clear" w:fill="FFFFFF"/>
          <w:lang w:eastAsia="zh-CN"/>
        </w:rPr>
      </w:pPr>
      <w:r>
        <w:rPr>
          <w:rFonts w:hint="default" w:ascii="Times New Roman" w:hAnsi="Times New Roman" w:eastAsia="宋体" w:cs="Times New Roman"/>
          <w:b/>
          <w:bCs/>
          <w:i w:val="0"/>
          <w:iCs w:val="0"/>
          <w:caps w:val="0"/>
          <w:color w:val="auto"/>
          <w:spacing w:val="0"/>
          <w:sz w:val="24"/>
          <w:szCs w:val="24"/>
          <w:shd w:val="clear" w:fill="FFFFFF"/>
        </w:rPr>
        <w:t>课程背景</w:t>
      </w:r>
      <w:r>
        <w:rPr>
          <w:rFonts w:hint="default" w:ascii="Times New Roman" w:hAnsi="Times New Roman" w:eastAsia="宋体" w:cs="Times New Roman"/>
          <w:b/>
          <w:bCs/>
          <w:i w:val="0"/>
          <w:iCs w:val="0"/>
          <w:caps w:val="0"/>
          <w:color w:val="auto"/>
          <w:spacing w:val="0"/>
          <w:sz w:val="24"/>
          <w:szCs w:val="24"/>
          <w:shd w:val="clear" w:fill="FFFFFF"/>
          <w:lang w:eastAsia="zh-CN"/>
        </w:rPr>
        <w:t>：</w:t>
      </w:r>
    </w:p>
    <w:p w14:paraId="1E4D2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20" w:lineRule="exact"/>
        <w:ind w:right="0" w:firstLine="480"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i w:val="0"/>
          <w:iCs w:val="0"/>
          <w:caps w:val="0"/>
          <w:color w:val="auto"/>
          <w:spacing w:val="0"/>
          <w:sz w:val="24"/>
          <w:szCs w:val="24"/>
          <w:shd w:val="clear" w:fill="FFFFFF"/>
        </w:rPr>
        <w:t>1.继国务院印发《新一代人工智能发展规划》后，工信部印发《促进新一代人工智能产业发展三年行动计划（2018~2020年）》，未来三年将率先在智能网联汽车、智能服务机器人、智能无人机、医疗影像辅助诊断系统、视频图像身份识别系统、智能语音交互系统、智能翻译系统、智能家居产品等八大领域取得突破。</w:t>
      </w:r>
    </w:p>
    <w:p w14:paraId="0D911D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20" w:lineRule="exact"/>
        <w:ind w:right="0" w:firstLine="480" w:firstLineChars="200"/>
        <w:jc w:val="both"/>
        <w:textAlignment w:val="auto"/>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i w:val="0"/>
          <w:iCs w:val="0"/>
          <w:caps w:val="0"/>
          <w:color w:val="auto"/>
          <w:spacing w:val="0"/>
          <w:sz w:val="24"/>
          <w:szCs w:val="24"/>
          <w:shd w:val="clear" w:fill="FFFFFF"/>
        </w:rPr>
        <w:t>2.人工智能已经从各个角度渗透进我们的日常生活，并带动着科技进步和产业升级。</w:t>
      </w:r>
    </w:p>
    <w:p w14:paraId="014CDE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20" w:lineRule="exact"/>
        <w:ind w:right="0" w:firstLine="480" w:firstLineChars="200"/>
        <w:jc w:val="both"/>
        <w:textAlignment w:val="auto"/>
        <w:rPr>
          <w:rFonts w:hint="default" w:ascii="宋体" w:hAnsi="宋体" w:eastAsia="宋体" w:cs="宋体"/>
          <w:b/>
          <w:bCs/>
          <w:sz w:val="24"/>
          <w:szCs w:val="24"/>
          <w:lang w:val="en-US" w:eastAsia="zh-CN"/>
        </w:rPr>
      </w:pPr>
      <w:r>
        <w:rPr>
          <w:rFonts w:hint="default" w:ascii="Times New Roman" w:hAnsi="Times New Roman" w:eastAsia="宋体" w:cs="Times New Roman"/>
          <w:i w:val="0"/>
          <w:iCs w:val="0"/>
          <w:caps w:val="0"/>
          <w:color w:val="auto"/>
          <w:spacing w:val="0"/>
          <w:sz w:val="24"/>
          <w:szCs w:val="24"/>
          <w:shd w:val="clear" w:fill="FFFFFF"/>
        </w:rPr>
        <w:t>3.作为人工智能时代的大学生，迫切需要了解和使用人工智能技术。</w:t>
      </w:r>
    </w:p>
    <w:p w14:paraId="5E86EB76">
      <w:pPr>
        <w:ind w:firstLine="3083" w:firstLineChars="1200"/>
        <w:rPr>
          <w:rFonts w:ascii="黑体" w:hAnsi="黑体" w:eastAsia="黑体" w:cs="宋体"/>
          <w:b/>
          <w:color w:val="3F3F3F"/>
          <w:spacing w:val="8"/>
          <w:kern w:val="0"/>
          <w:sz w:val="24"/>
          <w:szCs w:val="24"/>
        </w:rPr>
      </w:pPr>
    </w:p>
    <w:tbl>
      <w:tblPr>
        <w:tblStyle w:val="8"/>
        <w:tblW w:w="9633" w:type="dxa"/>
        <w:tblInd w:w="-459" w:type="dxa"/>
        <w:tblLayout w:type="fixed"/>
        <w:tblCellMar>
          <w:top w:w="0" w:type="dxa"/>
          <w:left w:w="108" w:type="dxa"/>
          <w:bottom w:w="0" w:type="dxa"/>
          <w:right w:w="108" w:type="dxa"/>
        </w:tblCellMar>
      </w:tblPr>
      <w:tblGrid>
        <w:gridCol w:w="3261"/>
        <w:gridCol w:w="3847"/>
        <w:gridCol w:w="1237"/>
        <w:gridCol w:w="1288"/>
      </w:tblGrid>
      <w:tr w14:paraId="549C147C">
        <w:tblPrEx>
          <w:tblCellMar>
            <w:top w:w="0" w:type="dxa"/>
            <w:left w:w="108" w:type="dxa"/>
            <w:bottom w:w="0" w:type="dxa"/>
            <w:right w:w="108" w:type="dxa"/>
          </w:tblCellMar>
        </w:tblPrEx>
        <w:trPr>
          <w:trHeight w:val="656" w:hRule="atLeast"/>
        </w:trPr>
        <w:tc>
          <w:tcPr>
            <w:tcW w:w="9633" w:type="dxa"/>
            <w:gridSpan w:val="4"/>
            <w:tcBorders>
              <w:top w:val="single" w:color="000000" w:sz="8" w:space="0"/>
              <w:left w:val="single" w:color="000000" w:sz="8" w:space="0"/>
              <w:bottom w:val="single" w:color="000000" w:sz="8" w:space="0"/>
              <w:right w:val="single" w:color="000000" w:sz="8" w:space="0"/>
            </w:tcBorders>
            <w:vAlign w:val="center"/>
          </w:tcPr>
          <w:p w14:paraId="23D24489">
            <w:pPr>
              <w:ind w:firstLine="3597" w:firstLineChars="1400"/>
              <w:rPr>
                <w:rFonts w:ascii="黑体" w:hAnsi="黑体" w:eastAsia="黑体" w:cs="宋体"/>
                <w:b/>
                <w:color w:val="3F3F3F"/>
                <w:spacing w:val="8"/>
                <w:kern w:val="0"/>
                <w:sz w:val="24"/>
                <w:szCs w:val="24"/>
              </w:rPr>
            </w:pPr>
            <w:r>
              <w:rPr>
                <w:rFonts w:ascii="黑体" w:hAnsi="黑体" w:eastAsia="黑体" w:cs="宋体"/>
                <w:b/>
                <w:color w:val="3F3F3F"/>
                <w:spacing w:val="8"/>
                <w:kern w:val="0"/>
                <w:sz w:val="24"/>
                <w:szCs w:val="24"/>
              </w:rPr>
              <w:t>超星平台课程简介</w:t>
            </w:r>
          </w:p>
        </w:tc>
      </w:tr>
      <w:tr w14:paraId="23DC5F6D">
        <w:tblPrEx>
          <w:tblCellMar>
            <w:top w:w="0" w:type="dxa"/>
            <w:left w:w="108" w:type="dxa"/>
            <w:bottom w:w="0" w:type="dxa"/>
            <w:right w:w="108" w:type="dxa"/>
          </w:tblCellMar>
        </w:tblPrEx>
        <w:trPr>
          <w:trHeight w:val="345" w:hRule="atLeast"/>
        </w:trPr>
        <w:tc>
          <w:tcPr>
            <w:tcW w:w="3261" w:type="dxa"/>
            <w:tcBorders>
              <w:top w:val="single" w:color="000000" w:sz="8" w:space="0"/>
              <w:left w:val="single" w:color="000000" w:sz="8" w:space="0"/>
              <w:bottom w:val="single" w:color="000000" w:sz="8" w:space="0"/>
              <w:right w:val="single" w:color="000000" w:sz="8" w:space="0"/>
            </w:tcBorders>
            <w:vAlign w:val="center"/>
          </w:tcPr>
          <w:p w14:paraId="6E0A7F8A">
            <w:pPr>
              <w:widowControl/>
              <w:jc w:val="center"/>
              <w:textAlignment w:val="top"/>
              <w:rPr>
                <w:rFonts w:ascii="微软雅黑" w:hAnsi="微软雅黑" w:eastAsia="微软雅黑" w:cs="微软雅黑"/>
                <w:color w:val="3F3F3F"/>
                <w:kern w:val="0"/>
                <w:sz w:val="24"/>
                <w:lang w:bidi="ar"/>
              </w:rPr>
            </w:pPr>
            <w:r>
              <w:rPr>
                <w:rFonts w:hint="eastAsia" w:ascii="微软雅黑" w:hAnsi="微软雅黑" w:eastAsia="微软雅黑" w:cs="微软雅黑"/>
                <w:color w:val="3F3F3F"/>
                <w:kern w:val="0"/>
                <w:sz w:val="24"/>
                <w:lang w:bidi="ar"/>
              </w:rPr>
              <w:t>课程类别</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BCA5E">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lang w:bidi="ar"/>
              </w:rPr>
              <w:t>课程名称</w:t>
            </w:r>
          </w:p>
        </w:tc>
        <w:tc>
          <w:tcPr>
            <w:tcW w:w="12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F4DF1">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lang w:bidi="ar"/>
              </w:rPr>
              <w:t>开课平台</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DEF91">
            <w:pPr>
              <w:widowControl/>
              <w:jc w:val="center"/>
              <w:textAlignment w:val="top"/>
              <w:rPr>
                <w:rFonts w:ascii="微软雅黑" w:hAnsi="微软雅黑" w:eastAsia="微软雅黑" w:cs="微软雅黑"/>
                <w:color w:val="3F3F3F"/>
                <w:sz w:val="24"/>
              </w:rPr>
            </w:pPr>
            <w:r>
              <w:rPr>
                <w:rFonts w:hint="eastAsia" w:ascii="微软雅黑" w:hAnsi="微软雅黑" w:eastAsia="微软雅黑" w:cs="微软雅黑"/>
                <w:color w:val="3F3F3F"/>
                <w:kern w:val="0"/>
                <w:sz w:val="24"/>
                <w:lang w:bidi="ar"/>
              </w:rPr>
              <w:t>线上/线下</w:t>
            </w:r>
          </w:p>
        </w:tc>
      </w:tr>
      <w:tr w14:paraId="41008DF3">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5845929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59B5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人人必修的人工智能课</w:t>
            </w:r>
          </w:p>
        </w:tc>
        <w:tc>
          <w:tcPr>
            <w:tcW w:w="1237" w:type="dxa"/>
            <w:vMerge w:val="restart"/>
            <w:tcBorders>
              <w:top w:val="single" w:color="000000" w:sz="8" w:space="0"/>
              <w:left w:val="single" w:color="000000" w:sz="8" w:space="0"/>
              <w:right w:val="single" w:color="000000" w:sz="8" w:space="0"/>
            </w:tcBorders>
            <w:shd w:val="clear" w:color="auto" w:fill="auto"/>
            <w:vAlign w:val="center"/>
          </w:tcPr>
          <w:p w14:paraId="57F48B4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超星</w:t>
            </w:r>
          </w:p>
        </w:tc>
        <w:tc>
          <w:tcPr>
            <w:tcW w:w="1288" w:type="dxa"/>
            <w:vMerge w:val="restart"/>
            <w:tcBorders>
              <w:top w:val="single" w:color="000000" w:sz="8" w:space="0"/>
              <w:left w:val="single" w:color="000000" w:sz="8" w:space="0"/>
              <w:right w:val="single" w:color="000000" w:sz="8" w:space="0"/>
            </w:tcBorders>
            <w:shd w:val="clear" w:color="auto" w:fill="auto"/>
            <w:vAlign w:val="center"/>
          </w:tcPr>
          <w:p w14:paraId="5B90119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线上</w:t>
            </w:r>
          </w:p>
        </w:tc>
      </w:tr>
      <w:tr w14:paraId="09B8F03C">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27BEB">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公共选修课</w:t>
            </w:r>
            <w:r>
              <w:rPr>
                <w:rFonts w:hint="default" w:ascii="宋体" w:hAnsi="宋体" w:eastAsia="宋体" w:cs="宋体"/>
                <w:color w:val="000000"/>
                <w:kern w:val="0"/>
                <w:sz w:val="20"/>
                <w:szCs w:val="20"/>
                <w:lang w:val="en-US" w:eastAsia="zh-CN" w:bidi="ar"/>
              </w:rPr>
              <w:t>B</w:t>
            </w:r>
            <w:r>
              <w:rPr>
                <w:rFonts w:hint="eastAsia" w:ascii="宋体" w:hAnsi="宋体" w:eastAsia="宋体" w:cs="宋体"/>
                <w:color w:val="000000"/>
                <w:kern w:val="0"/>
                <w:sz w:val="20"/>
                <w:szCs w:val="20"/>
                <w:lang w:val="en-US" w:eastAsia="zh-CN" w:bidi="ar"/>
              </w:rPr>
              <w:t>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8BBA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机器学习初步</w:t>
            </w:r>
          </w:p>
        </w:tc>
        <w:tc>
          <w:tcPr>
            <w:tcW w:w="1237" w:type="dxa"/>
            <w:vMerge w:val="continue"/>
            <w:tcBorders>
              <w:left w:val="single" w:color="000000" w:sz="8" w:space="0"/>
              <w:right w:val="single" w:color="000000" w:sz="8" w:space="0"/>
            </w:tcBorders>
            <w:shd w:val="clear" w:color="auto" w:fill="auto"/>
            <w:vAlign w:val="center"/>
          </w:tcPr>
          <w:p w14:paraId="7CF3512D">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1D7E1A05">
            <w:pPr>
              <w:jc w:val="center"/>
              <w:rPr>
                <w:rFonts w:ascii="微软雅黑" w:hAnsi="微软雅黑" w:eastAsia="微软雅黑" w:cs="微软雅黑"/>
                <w:color w:val="3F3F3F"/>
                <w:sz w:val="18"/>
                <w:szCs w:val="18"/>
              </w:rPr>
            </w:pPr>
          </w:p>
        </w:tc>
      </w:tr>
      <w:tr w14:paraId="543777C7">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16E4ED0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657CC">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人工智能与信息社会</w:t>
            </w:r>
          </w:p>
        </w:tc>
        <w:tc>
          <w:tcPr>
            <w:tcW w:w="1237" w:type="dxa"/>
            <w:vMerge w:val="continue"/>
            <w:tcBorders>
              <w:left w:val="single" w:color="000000" w:sz="8" w:space="0"/>
              <w:right w:val="single" w:color="000000" w:sz="8" w:space="0"/>
            </w:tcBorders>
            <w:shd w:val="clear" w:color="auto" w:fill="auto"/>
            <w:vAlign w:val="center"/>
          </w:tcPr>
          <w:p w14:paraId="5C430BAB">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132381CE">
            <w:pPr>
              <w:jc w:val="center"/>
              <w:rPr>
                <w:rFonts w:ascii="微软雅黑" w:hAnsi="微软雅黑" w:eastAsia="微软雅黑" w:cs="微软雅黑"/>
                <w:color w:val="3F3F3F"/>
                <w:sz w:val="18"/>
                <w:szCs w:val="18"/>
              </w:rPr>
            </w:pPr>
          </w:p>
        </w:tc>
      </w:tr>
      <w:tr w14:paraId="77F04A7E">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6EFAF31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DC05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生成式人工智能原理及其影响和应用</w:t>
            </w:r>
          </w:p>
        </w:tc>
        <w:tc>
          <w:tcPr>
            <w:tcW w:w="1237" w:type="dxa"/>
            <w:vMerge w:val="continue"/>
            <w:tcBorders>
              <w:left w:val="single" w:color="000000" w:sz="8" w:space="0"/>
              <w:right w:val="single" w:color="000000" w:sz="8" w:space="0"/>
            </w:tcBorders>
            <w:shd w:val="clear" w:color="auto" w:fill="auto"/>
            <w:vAlign w:val="center"/>
          </w:tcPr>
          <w:p w14:paraId="3DD84F13">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2E5E6FB5">
            <w:pPr>
              <w:jc w:val="center"/>
              <w:rPr>
                <w:rFonts w:ascii="微软雅黑" w:hAnsi="微软雅黑" w:eastAsia="微软雅黑" w:cs="微软雅黑"/>
                <w:color w:val="3F3F3F"/>
                <w:sz w:val="18"/>
                <w:szCs w:val="18"/>
              </w:rPr>
            </w:pPr>
          </w:p>
        </w:tc>
      </w:tr>
      <w:tr w14:paraId="1B332C58">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5866B88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1534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智驭未来：AI工具辅助高效学习与科研</w:t>
            </w:r>
          </w:p>
        </w:tc>
        <w:tc>
          <w:tcPr>
            <w:tcW w:w="1237" w:type="dxa"/>
            <w:vMerge w:val="continue"/>
            <w:tcBorders>
              <w:left w:val="single" w:color="000000" w:sz="8" w:space="0"/>
              <w:right w:val="single" w:color="000000" w:sz="8" w:space="0"/>
            </w:tcBorders>
            <w:shd w:val="clear" w:color="auto" w:fill="auto"/>
            <w:vAlign w:val="center"/>
          </w:tcPr>
          <w:p w14:paraId="4EA4B4E4">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1FBC7076">
            <w:pPr>
              <w:jc w:val="center"/>
              <w:rPr>
                <w:rFonts w:ascii="微软雅黑" w:hAnsi="微软雅黑" w:eastAsia="微软雅黑" w:cs="微软雅黑"/>
                <w:color w:val="3F3F3F"/>
                <w:sz w:val="18"/>
                <w:szCs w:val="18"/>
              </w:rPr>
            </w:pPr>
          </w:p>
        </w:tc>
      </w:tr>
      <w:tr w14:paraId="7E8FC31C">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18E39A3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F8438">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人人都能上手的AI工具</w:t>
            </w:r>
          </w:p>
        </w:tc>
        <w:tc>
          <w:tcPr>
            <w:tcW w:w="1237" w:type="dxa"/>
            <w:vMerge w:val="continue"/>
            <w:tcBorders>
              <w:left w:val="single" w:color="000000" w:sz="8" w:space="0"/>
              <w:right w:val="single" w:color="000000" w:sz="8" w:space="0"/>
            </w:tcBorders>
            <w:shd w:val="clear" w:color="auto" w:fill="auto"/>
            <w:vAlign w:val="center"/>
          </w:tcPr>
          <w:p w14:paraId="78A0558C">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39FEC9C8">
            <w:pPr>
              <w:jc w:val="center"/>
              <w:rPr>
                <w:rFonts w:ascii="微软雅黑" w:hAnsi="微软雅黑" w:eastAsia="微软雅黑" w:cs="微软雅黑"/>
                <w:color w:val="3F3F3F"/>
                <w:sz w:val="18"/>
                <w:szCs w:val="18"/>
              </w:rPr>
            </w:pPr>
          </w:p>
        </w:tc>
      </w:tr>
      <w:tr w14:paraId="7F894101">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1538FEC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公共选修课B类（自然科学与科技）</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27407">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人文智能</w:t>
            </w:r>
          </w:p>
        </w:tc>
        <w:tc>
          <w:tcPr>
            <w:tcW w:w="1237" w:type="dxa"/>
            <w:vMerge w:val="continue"/>
            <w:tcBorders>
              <w:left w:val="single" w:color="000000" w:sz="8" w:space="0"/>
              <w:right w:val="single" w:color="000000" w:sz="8" w:space="0"/>
            </w:tcBorders>
            <w:shd w:val="clear" w:color="auto" w:fill="auto"/>
            <w:vAlign w:val="center"/>
          </w:tcPr>
          <w:p w14:paraId="7B7A0DAD">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146B9D96">
            <w:pPr>
              <w:jc w:val="center"/>
              <w:rPr>
                <w:rFonts w:ascii="微软雅黑" w:hAnsi="微软雅黑" w:eastAsia="微软雅黑" w:cs="微软雅黑"/>
                <w:color w:val="3F3F3F"/>
                <w:sz w:val="18"/>
                <w:szCs w:val="18"/>
              </w:rPr>
            </w:pPr>
          </w:p>
        </w:tc>
      </w:tr>
      <w:tr w14:paraId="6DD8FE0F">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4F8FC86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公共选修课C类（艺术、体育）</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93AF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大学美育（同济大学版）</w:t>
            </w:r>
          </w:p>
        </w:tc>
        <w:tc>
          <w:tcPr>
            <w:tcW w:w="1237" w:type="dxa"/>
            <w:vMerge w:val="continue"/>
            <w:tcBorders>
              <w:left w:val="single" w:color="000000" w:sz="8" w:space="0"/>
              <w:right w:val="single" w:color="000000" w:sz="8" w:space="0"/>
            </w:tcBorders>
            <w:shd w:val="clear" w:color="auto" w:fill="auto"/>
            <w:vAlign w:val="center"/>
          </w:tcPr>
          <w:p w14:paraId="2F27099E">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07A8B29E">
            <w:pPr>
              <w:jc w:val="center"/>
              <w:rPr>
                <w:rFonts w:ascii="微软雅黑" w:hAnsi="微软雅黑" w:eastAsia="微软雅黑" w:cs="微软雅黑"/>
                <w:color w:val="3F3F3F"/>
                <w:sz w:val="18"/>
                <w:szCs w:val="18"/>
              </w:rPr>
            </w:pPr>
          </w:p>
        </w:tc>
      </w:tr>
      <w:tr w14:paraId="6E0BD275">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34FF951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公共选修课C类（艺术、体育）</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F2D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从草根到殿堂：流行音乐导论</w:t>
            </w:r>
          </w:p>
        </w:tc>
        <w:tc>
          <w:tcPr>
            <w:tcW w:w="1237" w:type="dxa"/>
            <w:vMerge w:val="continue"/>
            <w:tcBorders>
              <w:left w:val="single" w:color="000000" w:sz="8" w:space="0"/>
              <w:right w:val="single" w:color="000000" w:sz="8" w:space="0"/>
            </w:tcBorders>
            <w:shd w:val="clear" w:color="auto" w:fill="auto"/>
            <w:vAlign w:val="center"/>
          </w:tcPr>
          <w:p w14:paraId="419EDC06">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066BBBAF">
            <w:pPr>
              <w:jc w:val="center"/>
              <w:rPr>
                <w:rFonts w:ascii="微软雅黑" w:hAnsi="微软雅黑" w:eastAsia="微软雅黑" w:cs="微软雅黑"/>
                <w:color w:val="3F3F3F"/>
                <w:sz w:val="18"/>
                <w:szCs w:val="18"/>
              </w:rPr>
            </w:pPr>
          </w:p>
        </w:tc>
      </w:tr>
      <w:tr w14:paraId="1EA4C505">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5695C0F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公共选修课A类（人文社科）</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7FA1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大学生职业发展与就业指导（福州大学版）</w:t>
            </w:r>
          </w:p>
        </w:tc>
        <w:tc>
          <w:tcPr>
            <w:tcW w:w="1237" w:type="dxa"/>
            <w:vMerge w:val="continue"/>
            <w:tcBorders>
              <w:left w:val="single" w:color="000000" w:sz="8" w:space="0"/>
              <w:right w:val="single" w:color="000000" w:sz="8" w:space="0"/>
            </w:tcBorders>
            <w:shd w:val="clear" w:color="auto" w:fill="auto"/>
            <w:vAlign w:val="center"/>
          </w:tcPr>
          <w:p w14:paraId="14E195E7">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2D408115">
            <w:pPr>
              <w:jc w:val="center"/>
              <w:rPr>
                <w:rFonts w:ascii="微软雅黑" w:hAnsi="微软雅黑" w:eastAsia="微软雅黑" w:cs="微软雅黑"/>
                <w:color w:val="3F3F3F"/>
                <w:sz w:val="18"/>
                <w:szCs w:val="18"/>
              </w:rPr>
            </w:pPr>
          </w:p>
        </w:tc>
      </w:tr>
      <w:tr w14:paraId="1A6C6263">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right w:val="single" w:color="000000" w:sz="8" w:space="0"/>
            </w:tcBorders>
            <w:vAlign w:val="center"/>
          </w:tcPr>
          <w:p w14:paraId="322701B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公共选修课D类（劳动与创新创业）</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AC75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创新创业基础</w:t>
            </w:r>
          </w:p>
        </w:tc>
        <w:tc>
          <w:tcPr>
            <w:tcW w:w="1237" w:type="dxa"/>
            <w:vMerge w:val="continue"/>
            <w:tcBorders>
              <w:left w:val="single" w:color="000000" w:sz="8" w:space="0"/>
              <w:right w:val="single" w:color="000000" w:sz="8" w:space="0"/>
            </w:tcBorders>
            <w:shd w:val="clear" w:color="auto" w:fill="auto"/>
            <w:vAlign w:val="center"/>
          </w:tcPr>
          <w:p w14:paraId="0A3D3A7B">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69F9422B">
            <w:pPr>
              <w:jc w:val="center"/>
              <w:rPr>
                <w:rFonts w:ascii="微软雅黑" w:hAnsi="微软雅黑" w:eastAsia="微软雅黑" w:cs="微软雅黑"/>
                <w:color w:val="3F3F3F"/>
                <w:sz w:val="18"/>
                <w:szCs w:val="18"/>
              </w:rPr>
            </w:pPr>
          </w:p>
        </w:tc>
      </w:tr>
      <w:tr w14:paraId="2CFFCD22">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4B071F9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公共选修课D类（劳动与创新创业）</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4DE5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脑洞大开背后的创新思维</w:t>
            </w:r>
          </w:p>
        </w:tc>
        <w:tc>
          <w:tcPr>
            <w:tcW w:w="1237" w:type="dxa"/>
            <w:vMerge w:val="continue"/>
            <w:tcBorders>
              <w:left w:val="single" w:color="000000" w:sz="8" w:space="0"/>
              <w:right w:val="single" w:color="000000" w:sz="8" w:space="0"/>
            </w:tcBorders>
            <w:shd w:val="clear" w:color="auto" w:fill="auto"/>
            <w:vAlign w:val="center"/>
          </w:tcPr>
          <w:p w14:paraId="31E1B52D">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3AF03A77">
            <w:pPr>
              <w:jc w:val="center"/>
              <w:rPr>
                <w:rFonts w:ascii="微软雅黑" w:hAnsi="微软雅黑" w:eastAsia="微软雅黑" w:cs="微软雅黑"/>
                <w:color w:val="3F3F3F"/>
                <w:sz w:val="18"/>
                <w:szCs w:val="18"/>
              </w:rPr>
            </w:pPr>
          </w:p>
        </w:tc>
      </w:tr>
      <w:tr w14:paraId="2C76FE9B">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6C6D6C6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公共选修课A类（人文社科）</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4066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法律与社会</w:t>
            </w:r>
          </w:p>
        </w:tc>
        <w:tc>
          <w:tcPr>
            <w:tcW w:w="1237" w:type="dxa"/>
            <w:vMerge w:val="continue"/>
            <w:tcBorders>
              <w:left w:val="single" w:color="000000" w:sz="8" w:space="0"/>
              <w:right w:val="single" w:color="000000" w:sz="8" w:space="0"/>
            </w:tcBorders>
            <w:shd w:val="clear" w:color="auto" w:fill="auto"/>
            <w:vAlign w:val="center"/>
          </w:tcPr>
          <w:p w14:paraId="12D6819A">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4A369ECD">
            <w:pPr>
              <w:jc w:val="center"/>
              <w:rPr>
                <w:rFonts w:ascii="微软雅黑" w:hAnsi="微软雅黑" w:eastAsia="微软雅黑" w:cs="微软雅黑"/>
                <w:color w:val="3F3F3F"/>
                <w:sz w:val="18"/>
                <w:szCs w:val="18"/>
              </w:rPr>
            </w:pPr>
          </w:p>
        </w:tc>
      </w:tr>
      <w:tr w14:paraId="2C0EF51A">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6C125BD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公共选修课A类（人文社科）</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B528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大学生国家安全教育</w:t>
            </w:r>
          </w:p>
        </w:tc>
        <w:tc>
          <w:tcPr>
            <w:tcW w:w="1237" w:type="dxa"/>
            <w:vMerge w:val="continue"/>
            <w:tcBorders>
              <w:left w:val="single" w:color="000000" w:sz="8" w:space="0"/>
              <w:right w:val="single" w:color="000000" w:sz="8" w:space="0"/>
            </w:tcBorders>
            <w:shd w:val="clear" w:color="auto" w:fill="auto"/>
            <w:vAlign w:val="center"/>
          </w:tcPr>
          <w:p w14:paraId="2578E646">
            <w:pPr>
              <w:jc w:val="center"/>
              <w:rPr>
                <w:rFonts w:ascii="微软雅黑" w:hAnsi="微软雅黑" w:eastAsia="微软雅黑" w:cs="微软雅黑"/>
                <w:color w:val="3F3F3F"/>
                <w:sz w:val="18"/>
                <w:szCs w:val="18"/>
              </w:rPr>
            </w:pPr>
          </w:p>
        </w:tc>
        <w:tc>
          <w:tcPr>
            <w:tcW w:w="1288" w:type="dxa"/>
            <w:vMerge w:val="continue"/>
            <w:tcBorders>
              <w:left w:val="single" w:color="000000" w:sz="8" w:space="0"/>
              <w:right w:val="single" w:color="000000" w:sz="8" w:space="0"/>
            </w:tcBorders>
            <w:shd w:val="clear" w:color="auto" w:fill="auto"/>
            <w:vAlign w:val="center"/>
          </w:tcPr>
          <w:p w14:paraId="2A26C2E1">
            <w:pPr>
              <w:jc w:val="center"/>
              <w:rPr>
                <w:rFonts w:ascii="微软雅黑" w:hAnsi="微软雅黑" w:eastAsia="微软雅黑" w:cs="微软雅黑"/>
                <w:color w:val="3F3F3F"/>
                <w:sz w:val="18"/>
                <w:szCs w:val="18"/>
              </w:rPr>
            </w:pPr>
          </w:p>
        </w:tc>
      </w:tr>
      <w:tr w14:paraId="738CF055">
        <w:tblPrEx>
          <w:tblCellMar>
            <w:top w:w="0" w:type="dxa"/>
            <w:left w:w="108" w:type="dxa"/>
            <w:bottom w:w="0" w:type="dxa"/>
            <w:right w:w="108" w:type="dxa"/>
          </w:tblCellMar>
        </w:tblPrEx>
        <w:trPr>
          <w:trHeight w:val="680" w:hRule="exact"/>
        </w:trPr>
        <w:tc>
          <w:tcPr>
            <w:tcW w:w="3261" w:type="dxa"/>
            <w:tcBorders>
              <w:top w:val="single" w:color="000000" w:sz="8" w:space="0"/>
              <w:left w:val="single" w:color="000000" w:sz="8" w:space="0"/>
              <w:bottom w:val="single" w:color="000000" w:sz="8" w:space="0"/>
              <w:right w:val="single" w:color="000000" w:sz="8" w:space="0"/>
            </w:tcBorders>
            <w:vAlign w:val="center"/>
          </w:tcPr>
          <w:p w14:paraId="5BFB7B8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公共选修课A类（人文社科）</w:t>
            </w:r>
          </w:p>
        </w:tc>
        <w:tc>
          <w:tcPr>
            <w:tcW w:w="3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0D12D">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大国兵器</w:t>
            </w:r>
          </w:p>
        </w:tc>
        <w:tc>
          <w:tcPr>
            <w:tcW w:w="1237" w:type="dxa"/>
            <w:vMerge w:val="continue"/>
            <w:tcBorders>
              <w:left w:val="single" w:color="000000" w:sz="8" w:space="0"/>
              <w:bottom w:val="single" w:color="000000" w:sz="8" w:space="0"/>
              <w:right w:val="single" w:color="000000" w:sz="8" w:space="0"/>
            </w:tcBorders>
            <w:shd w:val="clear" w:color="auto" w:fill="auto"/>
            <w:vAlign w:val="center"/>
          </w:tcPr>
          <w:p w14:paraId="36431D17">
            <w:pPr>
              <w:jc w:val="center"/>
              <w:rPr>
                <w:rFonts w:ascii="微软雅黑" w:hAnsi="微软雅黑" w:eastAsia="微软雅黑" w:cs="微软雅黑"/>
                <w:color w:val="3F3F3F"/>
                <w:sz w:val="18"/>
                <w:szCs w:val="18"/>
              </w:rPr>
            </w:pPr>
          </w:p>
        </w:tc>
        <w:tc>
          <w:tcPr>
            <w:tcW w:w="1288" w:type="dxa"/>
            <w:vMerge w:val="continue"/>
            <w:tcBorders>
              <w:left w:val="single" w:color="000000" w:sz="8" w:space="0"/>
              <w:bottom w:val="single" w:color="000000" w:sz="8" w:space="0"/>
              <w:right w:val="single" w:color="000000" w:sz="8" w:space="0"/>
            </w:tcBorders>
            <w:shd w:val="clear" w:color="auto" w:fill="auto"/>
            <w:vAlign w:val="center"/>
          </w:tcPr>
          <w:p w14:paraId="4BE88444">
            <w:pPr>
              <w:jc w:val="center"/>
              <w:rPr>
                <w:rFonts w:ascii="微软雅黑" w:hAnsi="微软雅黑" w:eastAsia="微软雅黑" w:cs="微软雅黑"/>
                <w:color w:val="3F3F3F"/>
                <w:sz w:val="18"/>
                <w:szCs w:val="18"/>
              </w:rPr>
            </w:pPr>
          </w:p>
        </w:tc>
      </w:tr>
    </w:tbl>
    <w:p w14:paraId="230A70C4">
      <w:pPr>
        <w:rPr>
          <w:rFonts w:ascii="微软雅黑" w:hAnsi="微软雅黑" w:eastAsia="微软雅黑" w:cs="宋体"/>
          <w:color w:val="3F3F3F"/>
          <w:spacing w:val="8"/>
          <w:kern w:val="0"/>
          <w:sz w:val="24"/>
          <w:szCs w:val="24"/>
        </w:rPr>
      </w:pPr>
    </w:p>
    <w:p w14:paraId="0D316CE1">
      <w:pPr>
        <w:rPr>
          <w:rFonts w:hint="eastAsia" w:ascii="微软雅黑" w:hAnsi="微软雅黑" w:eastAsia="微软雅黑" w:cs="宋体"/>
          <w:color w:val="3F3F3F"/>
          <w:spacing w:val="8"/>
          <w:kern w:val="0"/>
          <w:sz w:val="24"/>
          <w:szCs w:val="24"/>
        </w:rPr>
      </w:pPr>
    </w:p>
    <w:p w14:paraId="1373E7A2">
      <w:pPr>
        <w:rPr>
          <w:rFonts w:hint="eastAsia" w:ascii="微软雅黑" w:hAnsi="微软雅黑" w:eastAsia="微软雅黑" w:cs="宋体"/>
          <w:color w:val="3F3F3F"/>
          <w:spacing w:val="8"/>
          <w:kern w:val="0"/>
          <w:sz w:val="24"/>
          <w:szCs w:val="24"/>
        </w:rPr>
      </w:pPr>
    </w:p>
    <w:p w14:paraId="0B1DE429">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lang w:val="en-US" w:eastAsia="zh-CN"/>
        </w:rPr>
      </w:pPr>
      <w:bookmarkStart w:id="0" w:name="_Toc29937"/>
      <w:bookmarkStart w:id="1" w:name="_Toc26913"/>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人人必修的人工智能课</w:t>
      </w:r>
      <w:bookmarkEnd w:id="0"/>
      <w:bookmarkEnd w:id="1"/>
    </w:p>
    <w:p w14:paraId="69577E12">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学分：1</w:t>
      </w:r>
    </w:p>
    <w:p w14:paraId="2B653E46">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1FB3A6D4">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可能我们都听过一句话：“AI不会淘汰人，但会淘汰不会用它的人。”了解AI、使用AI，将是大学生乃至所有人的必修课。内容涵盖人工智能发展全景，围绕AI在各个行业的实践，从应用场景、用户画像到技术实现，配合丰富案例，让学生理解技术如何赋能商业，创造机遇；提供丰富的AIGC工具使用指南，涵盖写作、PPT、EXCEL、绘图、视频生成等，快速提升学习与工作效率；并且通过热点问题探讨，培养学生创造性思辨的能力。</w:t>
      </w:r>
    </w:p>
    <w:p w14:paraId="6EF8EA89">
      <w:pPr>
        <w:pageBreakBefore w:val="0"/>
        <w:kinsoku/>
        <w:wordWrap/>
        <w:overflowPunct/>
        <w:topLinePunct w:val="0"/>
        <w:autoSpaceDE/>
        <w:autoSpaceDN/>
        <w:bidi w:val="0"/>
        <w:adjustRightInd/>
        <w:spacing w:line="420" w:lineRule="exact"/>
        <w:ind w:firstLine="482" w:firstLineChars="200"/>
        <w:outlineLvl w:val="2"/>
        <w:rPr>
          <w:rFonts w:hint="default" w:ascii="Times New Roman" w:hAnsi="Times New Roman" w:cs="Times New Roman" w:eastAsiaTheme="minorEastAsia"/>
          <w:b/>
          <w:bCs/>
          <w:sz w:val="24"/>
          <w:szCs w:val="24"/>
          <w:lang w:val="en-US" w:eastAsia="zh-CN"/>
        </w:rPr>
      </w:pPr>
      <w:bookmarkStart w:id="2" w:name="_Toc16545"/>
    </w:p>
    <w:p w14:paraId="4F21F5E2">
      <w:pPr>
        <w:pageBreakBefore w:val="0"/>
        <w:kinsoku/>
        <w:wordWrap/>
        <w:overflowPunct/>
        <w:topLinePunct w:val="0"/>
        <w:autoSpaceDE/>
        <w:autoSpaceDN/>
        <w:bidi w:val="0"/>
        <w:adjustRightInd/>
        <w:spacing w:line="420" w:lineRule="exact"/>
        <w:ind w:firstLine="482" w:firstLineChars="200"/>
        <w:outlineLvl w:val="2"/>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2.机器学习初步</w:t>
      </w:r>
      <w:bookmarkEnd w:id="2"/>
    </w:p>
    <w:p w14:paraId="6995F0CE">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学分：1</w:t>
      </w:r>
    </w:p>
    <w:p w14:paraId="7206053D">
      <w:pPr>
        <w:pageBreakBefore w:val="0"/>
        <w:kinsoku/>
        <w:wordWrap/>
        <w:overflowPunct/>
        <w:topLinePunct w:val="0"/>
        <w:autoSpaceDE/>
        <w:autoSpaceDN/>
        <w:bidi w:val="0"/>
        <w:adjustRightInd/>
        <w:spacing w:line="420" w:lineRule="exact"/>
        <w:ind w:firstLine="482" w:firstLineChars="200"/>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bCs/>
          <w:sz w:val="24"/>
          <w:szCs w:val="24"/>
          <w:lang w:val="en-US" w:eastAsia="zh-CN"/>
        </w:rPr>
        <w:t>课程简介:</w:t>
      </w:r>
    </w:p>
    <w:p w14:paraId="196CE04C">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机器学习被认为是人工智能领域中最能够体现智能的一个分支。从自动驾驶汽车到智能医疗诊断，从金融风险控制到个性化推荐系统，机器学习在各行各业发挥着价值。</w:t>
      </w:r>
    </w:p>
    <w:p w14:paraId="3FD9E06D">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本课程旨在让学生了解机器学习的基本概念、原理和方法，掌握典型机器学习算法。通过本课程的学习，学生将入门机器学习的基本概念与基础算法，从零基础初学者的视角提纲挈领地了解机器学习领域全貌。</w:t>
      </w:r>
    </w:p>
    <w:p w14:paraId="56FDD023">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3" w:name="_Toc20394"/>
      <w:bookmarkStart w:id="4" w:name="_Toc11067303"/>
      <w:bookmarkStart w:id="5" w:name="_Toc27460"/>
    </w:p>
    <w:p w14:paraId="1FE383B2">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人工智能与信息社会</w:t>
      </w:r>
      <w:bookmarkEnd w:id="3"/>
      <w:bookmarkEnd w:id="4"/>
      <w:bookmarkEnd w:id="5"/>
    </w:p>
    <w:p w14:paraId="2C4D1650">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5C284479">
      <w:pPr>
        <w:pStyle w:val="19"/>
        <w:pageBreakBefore w:val="0"/>
        <w:widowControl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课程简介:</w:t>
      </w:r>
    </w:p>
    <w:p w14:paraId="02BBF684">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算法实践，通过5个相对独立的人工智能典型应用项目，采用微软和其他开源项目提供的人工智能开发基础设施，结合丰富的应用数据，让学生能经过一段时间的学习，学习到成效显著且生动有趣的人工智能算法应用。</w:t>
      </w:r>
    </w:p>
    <w:p w14:paraId="2CA82016">
      <w:pPr>
        <w:pageBreakBefore w:val="0"/>
        <w:widowControl/>
        <w:kinsoku/>
        <w:wordWrap/>
        <w:overflowPunct/>
        <w:topLinePunct w:val="0"/>
        <w:autoSpaceDE/>
        <w:autoSpaceDN/>
        <w:bidi w:val="0"/>
        <w:adjustRightInd/>
        <w:spacing w:line="420" w:lineRule="exact"/>
        <w:ind w:firstLine="482" w:firstLineChars="200"/>
        <w:outlineLvl w:val="2"/>
        <w:rPr>
          <w:rFonts w:hint="default" w:ascii="Times New Roman" w:hAnsi="Times New Roman" w:cs="Times New Roman" w:eastAsiaTheme="minorEastAsia"/>
          <w:b/>
          <w:color w:val="000000"/>
          <w:sz w:val="24"/>
          <w:szCs w:val="24"/>
          <w:lang w:val="en-US" w:eastAsia="zh-CN"/>
        </w:rPr>
      </w:pPr>
      <w:bookmarkStart w:id="6" w:name="_Toc17023"/>
      <w:bookmarkStart w:id="7" w:name="_Toc16969"/>
    </w:p>
    <w:p w14:paraId="000BB34B">
      <w:pPr>
        <w:pageBreakBefore w:val="0"/>
        <w:widowControl/>
        <w:kinsoku/>
        <w:wordWrap/>
        <w:overflowPunct/>
        <w:topLinePunct w:val="0"/>
        <w:autoSpaceDE/>
        <w:autoSpaceDN/>
        <w:bidi w:val="0"/>
        <w:adjustRightInd/>
        <w:spacing w:line="420" w:lineRule="exact"/>
        <w:ind w:firstLine="482" w:firstLineChars="200"/>
        <w:outlineLvl w:val="2"/>
        <w:rPr>
          <w:rFonts w:hint="default" w:ascii="Times New Roman" w:hAnsi="Times New Roman" w:cs="Times New Roman" w:eastAsiaTheme="minorEastAsia"/>
          <w:b/>
          <w:color w:val="000000"/>
          <w:sz w:val="24"/>
          <w:szCs w:val="24"/>
          <w:lang w:val="en-US" w:eastAsia="zh-CN"/>
        </w:rPr>
      </w:pPr>
      <w:r>
        <w:rPr>
          <w:rFonts w:hint="default" w:ascii="Times New Roman" w:hAnsi="Times New Roman" w:cs="Times New Roman" w:eastAsiaTheme="minorEastAsia"/>
          <w:b/>
          <w:color w:val="000000"/>
          <w:sz w:val="24"/>
          <w:szCs w:val="24"/>
          <w:lang w:val="en-US" w:eastAsia="zh-CN"/>
        </w:rPr>
        <w:t>4.生成式人工智能原理及其影响和应用</w:t>
      </w:r>
      <w:bookmarkEnd w:id="6"/>
      <w:bookmarkEnd w:id="7"/>
    </w:p>
    <w:p w14:paraId="7442A8A1">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学分：1</w:t>
      </w:r>
    </w:p>
    <w:p w14:paraId="6FA184EB">
      <w:pPr>
        <w:pageBreakBefore w:val="0"/>
        <w:widowControl/>
        <w:kinsoku/>
        <w:wordWrap/>
        <w:overflowPunct/>
        <w:topLinePunct w:val="0"/>
        <w:autoSpaceDE/>
        <w:autoSpaceDN/>
        <w:bidi w:val="0"/>
        <w:adjustRightInd/>
        <w:spacing w:line="420" w:lineRule="exact"/>
        <w:ind w:firstLine="482" w:firstLineChars="200"/>
        <w:rPr>
          <w:rFonts w:hint="default" w:ascii="Times New Roman" w:hAnsi="Times New Roman" w:cs="Times New Roman" w:eastAsiaTheme="minorEastAsia"/>
          <w:b/>
          <w:bCs w:val="0"/>
          <w:color w:val="000000"/>
          <w:sz w:val="24"/>
          <w:szCs w:val="24"/>
          <w:lang w:val="en-US" w:eastAsia="zh-CN"/>
        </w:rPr>
      </w:pPr>
      <w:r>
        <w:rPr>
          <w:rFonts w:hint="eastAsia" w:ascii="Times New Roman" w:hAnsi="Times New Roman" w:cs="Times New Roman"/>
          <w:b/>
          <w:bCs w:val="0"/>
          <w:color w:val="000000"/>
          <w:sz w:val="24"/>
          <w:szCs w:val="24"/>
          <w:lang w:val="en-US" w:eastAsia="zh-CN"/>
        </w:rPr>
        <w:t>课程简介:</w:t>
      </w:r>
    </w:p>
    <w:p w14:paraId="634C1BD1">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课程围绕生成式人工智能的发展和影响以及大语言模型的原理及应用展开。旨在帮助学生形成对于以ChatGPT为代表的生成式AI大模型的正确认识，了解其背后的科学原理、范式和规律。使学生了解当前可用的生成式A大模型工具（例如文心一言、讯飞星火等），并能够运用相关工具，结合自身需要，完成基本的应用案例。</w:t>
      </w:r>
    </w:p>
    <w:p w14:paraId="1D230DC2">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8" w:name="_Toc21484"/>
    </w:p>
    <w:p w14:paraId="1478CC41">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智驭未来：AI工具辅助高效学习与科研</w:t>
      </w:r>
      <w:bookmarkEnd w:id="8"/>
    </w:p>
    <w:p w14:paraId="109FD7BD">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学分：1</w:t>
      </w:r>
    </w:p>
    <w:p w14:paraId="6DE0E3EA">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val="0"/>
          <w:sz w:val="24"/>
          <w:szCs w:val="24"/>
          <w:lang w:eastAsia="zh-CN"/>
        </w:rPr>
      </w:pPr>
      <w:r>
        <w:rPr>
          <w:rFonts w:hint="eastAsia" w:ascii="Times New Roman" w:hAnsi="Times New Roman" w:cs="Times New Roman"/>
          <w:b/>
          <w:bCs w:val="0"/>
          <w:sz w:val="24"/>
          <w:szCs w:val="24"/>
          <w:lang w:eastAsia="zh-CN"/>
        </w:rPr>
        <w:t>课程简介:</w:t>
      </w:r>
    </w:p>
    <w:p w14:paraId="7F4476AF">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在这个快速发展的人工智能时代，AI技术已成为科研、学习、艺术创作等多个领域的重要工具。本课程旨在深度介绍如何运用大型语言对话模型和其他先进AI工具，以提升学生的学习效率和科研能力。</w:t>
      </w:r>
    </w:p>
    <w:p w14:paraId="625F769F">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通过本课程的学习，学生将学会利用ChatGPT定制个性化的AI学习助教，并掌握Scispace、NotebookLM、Kimi Chat、秘塔AI搜索、智谱清言等AI工具在资料检索、论文翻译、学术写作、文献综述、数据分析和知识管理方面的应用。同时，学生将掌握一系列AI创作工具的使用技巧，以高效实现创意与内容生成。通过本课程的学习，学生将能够掌握一系列AI工具，助力学习与科研，实现掌握AI，驾驭未来。</w:t>
      </w:r>
    </w:p>
    <w:p w14:paraId="47B2AD4B">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9" w:name="_Toc29881"/>
      <w:bookmarkStart w:id="10" w:name="_Toc9970"/>
    </w:p>
    <w:p w14:paraId="7B318B6C">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人人都能上手的AI工具</w:t>
      </w:r>
      <w:bookmarkEnd w:id="9"/>
      <w:bookmarkEnd w:id="10"/>
    </w:p>
    <w:p w14:paraId="16B00481">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学分：1</w:t>
      </w:r>
    </w:p>
    <w:p w14:paraId="3F082057">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200D288F">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在今天这个由技术引领的时代，人工智能（AI）已经深入我们生活的方方面面，成为推动社会进步和创新的关键力量。《人人都能上手的AI工具》致力于让每位学生都能轻松地掌握并应用AI技术，以提高生活和工作的效率。</w:t>
      </w:r>
    </w:p>
    <w:p w14:paraId="7A958B26">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课程从最基础的概念出发，确保即使是零基础的学习者也能轻松入门。我们精心挑选了市场上最流行、最实用的AI工具，覆盖了AI写作、AI绘画、AI制作PPT等多个领域，以满足不同学习者的需求。通过实践导向的教学方法，培养学生的创新思维和实战能力。</w:t>
      </w:r>
    </w:p>
    <w:p w14:paraId="546B89DE">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11" w:name="_Toc1543"/>
      <w:bookmarkStart w:id="12" w:name="_Toc32645"/>
      <w:bookmarkStart w:id="13" w:name="_Toc11067591"/>
    </w:p>
    <w:p w14:paraId="1145D814">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.人文智能</w:t>
      </w:r>
      <w:bookmarkEnd w:id="11"/>
      <w:bookmarkEnd w:id="12"/>
      <w:bookmarkEnd w:id="13"/>
    </w:p>
    <w:p w14:paraId="698A9759">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70F4DC94">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723B71BD">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发文化之根，结科技之果”。“人文智能”是双顾团队打造的“人工智能”系列课程之三，主要以人工智能技术为背景，重新审视中国传统文化尤其是中国独有的思维方式。课程从中国八卦与作为人工智能底层资产的二进制的关系入手，揭示现代科学技术的西方文化基因，并以此为参照，发掘中国传统文化中蕴含的具有科学含量的元素，力图从中找到“机器中国人”的基因和表达方式。课程从成语的意象言结构切入，探讨汉字因为多重表达而形成更大的解空间，八卦运演涉及的先验知识以及阴阳五行作为中国式建模原理等课题，旨在引导学生发现传统文化与未来人工智能技术可能的结合点。“人文智能”是一门面向未来科技，展示人文价值的跨领域通识课。</w:t>
      </w:r>
    </w:p>
    <w:p w14:paraId="6FDD6F82">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lang w:val="en-US" w:eastAsia="zh-CN"/>
        </w:rPr>
      </w:pPr>
      <w:bookmarkStart w:id="14" w:name="_Toc26778"/>
      <w:bookmarkStart w:id="15" w:name="_Toc24050"/>
    </w:p>
    <w:p w14:paraId="7BB1FD61">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sz w:val="24"/>
          <w:szCs w:val="24"/>
        </w:rPr>
        <w:t>.大学美育（同济大学版）</w:t>
      </w:r>
      <w:bookmarkEnd w:id="14"/>
      <w:bookmarkEnd w:id="15"/>
    </w:p>
    <w:p w14:paraId="439D101A">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5C92CA56">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4AE436A4">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美不远人，美育全人！</w:t>
      </w:r>
    </w:p>
    <w:p w14:paraId="5B819461">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美是纯洁道德、丰富精神的重要源泉。美育在培养大学生德、智、体、美、劳全面发展中起到了基础性的作用。大学美育课堂，既是基本的文化艺术知识、艺术技能、美学精神的传授，也要让同学们有欣赏美、体验美的机会，进而不断培养创造美的能力；同时，通过发掘不同学科门类中蕴含的美，更将美的培育与科技工程的创新创造交叉互动；最后，美与人生的成就与幸福紧密相关，美不仅引导“全人教育”的未来走向，也真正让大学生因为这一堂课，在以后的人生中拥有更加丰厚的精神世界。</w:t>
      </w:r>
    </w:p>
    <w:p w14:paraId="5F6B6054">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课程秉持“中华美育”精神，建立面向全校本科生和社会开放的线上教学平台。课程集合了校内外、跨学科优势师资，组建院士、教授、实践艺术家等二十多名教师的授课团队；以“人文艺术美学、艺术鉴赏提升、科技工程美学、美学全人培育”四大版块，建构“多视角、宽视野、重交叉”的同济特色大学美育课程。</w:t>
      </w:r>
    </w:p>
    <w:p w14:paraId="4A31D998">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16" w:name="_Toc16554"/>
      <w:bookmarkStart w:id="17" w:name="_Toc27778"/>
      <w:bookmarkStart w:id="18" w:name="_Toc11067249"/>
    </w:p>
    <w:p w14:paraId="63D6C28B">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.从草根到殿堂：流行音乐导论</w:t>
      </w:r>
      <w:bookmarkEnd w:id="16"/>
      <w:bookmarkEnd w:id="17"/>
      <w:bookmarkEnd w:id="18"/>
    </w:p>
    <w:p w14:paraId="56055ECB">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7A18FE8B">
      <w:pPr>
        <w:pageBreakBefore w:val="0"/>
        <w:kinsoku/>
        <w:wordWrap/>
        <w:overflowPunct/>
        <w:topLinePunct w:val="0"/>
        <w:autoSpaceDE/>
        <w:autoSpaceDN/>
        <w:bidi w:val="0"/>
        <w:adjustRightInd/>
        <w:snapToGrid w:val="0"/>
        <w:spacing w:line="420" w:lineRule="exact"/>
        <w:ind w:firstLine="482" w:firstLineChars="200"/>
        <w:contextualSpacing/>
        <w:jc w:val="left"/>
        <w:textAlignment w:val="center"/>
        <w:rPr>
          <w:rFonts w:hint="eastAsia" w:ascii="Times New Roman" w:hAnsi="Times New Roman" w:cs="Times New Roman" w:eastAsiaTheme="minorEastAsia"/>
          <w:sz w:val="24"/>
          <w:szCs w:val="24"/>
          <w:lang w:eastAsia="zh-CN"/>
        </w:rPr>
      </w:pPr>
      <w:r>
        <w:rPr>
          <w:rFonts w:hint="eastAsia" w:ascii="Times New Roman" w:hAnsi="Times New Roman" w:cs="Times New Roman"/>
          <w:b/>
          <w:sz w:val="24"/>
          <w:szCs w:val="24"/>
          <w:lang w:eastAsia="zh-CN"/>
        </w:rPr>
        <w:t>课程简介:</w:t>
      </w:r>
    </w:p>
    <w:p w14:paraId="6D57169D">
      <w:pPr>
        <w:pageBreakBefore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流行音乐作为一种最大众、最通俗的平民化音乐，以其独特的姿态区别于古典音乐，并历经了一个多世纪的发展历程。该课程内容涉及了流行音乐的创作、表演、制作和传播等各个领域，通过丰富的富媒体资源，向学生展示了流行音乐从诞生到繁荣的历史过程，剖析了流行音乐文化背后所反映的社会背景，引导学生通过作品进行思考。</w:t>
      </w:r>
    </w:p>
    <w:p w14:paraId="2C474FF7">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lang w:val="en-US" w:eastAsia="zh-CN"/>
        </w:rPr>
      </w:pPr>
      <w:bookmarkStart w:id="19" w:name="_Toc11067945"/>
      <w:bookmarkStart w:id="20" w:name="_Toc18630"/>
      <w:bookmarkStart w:id="21" w:name="_Toc13550"/>
    </w:p>
    <w:p w14:paraId="65E53A78">
      <w:pPr>
        <w:pStyle w:val="2"/>
        <w:keepNext w:val="0"/>
        <w:keepLines w:val="0"/>
        <w:pageBreakBefore w:val="0"/>
        <w:kinsoku/>
        <w:wordWrap/>
        <w:overflowPunct/>
        <w:topLinePunct w:val="0"/>
        <w:autoSpaceDE/>
        <w:autoSpaceDN/>
        <w:bidi w:val="0"/>
        <w:adjustRightInd/>
        <w:snapToGrid w:val="0"/>
        <w:spacing w:before="0" w:after="0" w:line="420" w:lineRule="exact"/>
        <w:ind w:firstLine="482" w:firstLineChars="200"/>
        <w:contextualSpacing/>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10</w:t>
      </w:r>
      <w:r>
        <w:rPr>
          <w:rFonts w:hint="default" w:ascii="Times New Roman" w:hAnsi="Times New Roman" w:cs="Times New Roman" w:eastAsiaTheme="minorEastAsia"/>
          <w:sz w:val="24"/>
          <w:szCs w:val="24"/>
        </w:rPr>
        <w:t>.大学生职业发展与就业指导（福州大学版）</w:t>
      </w:r>
      <w:bookmarkEnd w:id="19"/>
      <w:bookmarkEnd w:id="20"/>
      <w:bookmarkEnd w:id="21"/>
    </w:p>
    <w:p w14:paraId="30A38C9E">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073695E1">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sz w:val="24"/>
          <w:szCs w:val="24"/>
          <w:lang w:eastAsia="zh-CN"/>
        </w:rPr>
      </w:pPr>
      <w:r>
        <w:rPr>
          <w:rFonts w:hint="eastAsia" w:ascii="Times New Roman" w:hAnsi="Times New Roman" w:cs="Times New Roman"/>
          <w:b/>
          <w:sz w:val="24"/>
          <w:szCs w:val="24"/>
          <w:lang w:eastAsia="zh-CN"/>
        </w:rPr>
        <w:t>课程简介:</w:t>
      </w:r>
    </w:p>
    <w:p w14:paraId="7FA1CF96">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据统计2018年全国普通高校毕业生人数将近820万人，如此庞大的数字使大学生就业创业面临严峻的局面。由于教育改革，我国高等教育规模迅速扩张，使得大学生数量逐年快速上涨。但是这些大学生毕业后全都要走上社会，面临就业和择业，与高等教育规模取得成绩相比，大学生就业显得相形见绌。《大学生职业发展与就业指导》是一门帮助大学生规划未来发展，掌握自我探索、环境探索、生涯决策方法，提高求职技巧，撰写职业化简历，有效应对面试，培养职场素质，提升生涯管理能力的课程，希望学生在学完本门课程后能早日明晰自己的职业定位，提高就业和适应职场的能力。</w:t>
      </w:r>
    </w:p>
    <w:p w14:paraId="14F3679E">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lang w:val="en-US" w:eastAsia="zh-CN"/>
        </w:rPr>
      </w:pPr>
      <w:bookmarkStart w:id="22" w:name="_Toc16298"/>
      <w:bookmarkStart w:id="23" w:name="_Toc30837"/>
    </w:p>
    <w:p w14:paraId="7724ED7E">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sz w:val="24"/>
          <w:szCs w:val="24"/>
          <w:lang w:val="en-US" w:eastAsia="zh-CN"/>
        </w:rPr>
        <w:t>11</w:t>
      </w:r>
      <w:r>
        <w:rPr>
          <w:rFonts w:hint="default" w:ascii="Times New Roman" w:hAnsi="Times New Roman" w:cs="Times New Roman" w:eastAsiaTheme="minorEastAsia"/>
          <w:sz w:val="24"/>
          <w:szCs w:val="24"/>
        </w:rPr>
        <w:t>.创新创业基础</w:t>
      </w:r>
      <w:bookmarkEnd w:id="22"/>
      <w:bookmarkEnd w:id="23"/>
    </w:p>
    <w:p w14:paraId="3E101029">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22E79B9C">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30DDE0A5">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课程依循教育部《普通本科学校创业教育教学基本要求(试行)》，基于科学的认知学习理论，围绕大学生创业所需的基础知识、基本理论、基本方法和基本流程，强调知识、理论和能力三位一体的创业系统建构。在内容规划和学习导向上，本课程遵循如下逻辑关系：1、是什么?——准确定义概念，阐明基本知识。2、为什么？——恰当运用基本理论分析主要原因。3、怎么做？——着重掌握基本流程和基本方法，课程主讲教师为李家华教授，是“中国创业教育第一人”，此外还有邀请北京航空航天大学创业管理培训学院院长董青春教授和中央财经大学商学院党总支书记兼副院长葛建新教授参与课程，师资力量强大，名师大家云集，是课程的质量保证。创新思维贯穿整个课程，不仅授课形式创新，讲座讨论与授课相结合，内容上直接聚焦创新，引导学生改变思维方式，转换观察世界的视角，培养学生的创新思维。课程内容与思政教育结合紧密，该课程充分发挥课堂教学在育人中主渠道作用，着力将思想政治教育贯穿于教学的全过程。前沿科技与创业案例结合，当代大学生对创业的认识非常有限，主讲教师们运用相关经典创新创业案例、活泼生动的语言，将国际国内前沿科技创新创业案例深入浅出地讲给广大学生。课程既适合有一定知识基础的高校学生学习，又可以面向广大初级创业者，是一门完美结合创新与创业的精品课程。</w:t>
      </w:r>
    </w:p>
    <w:p w14:paraId="2EF05721">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lang w:val="en-US" w:eastAsia="zh-CN"/>
        </w:rPr>
      </w:pPr>
      <w:bookmarkStart w:id="24" w:name="_Toc18203"/>
      <w:bookmarkStart w:id="25" w:name="_Toc7809"/>
    </w:p>
    <w:p w14:paraId="6127078C">
      <w:pPr>
        <w:pStyle w:val="2"/>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.脑洞大开背后的创新思维</w:t>
      </w:r>
      <w:bookmarkEnd w:id="24"/>
      <w:bookmarkEnd w:id="25"/>
    </w:p>
    <w:p w14:paraId="669396F2">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73247B3A">
      <w:pPr>
        <w:pageBreakBefore w:val="0"/>
        <w:kinsoku/>
        <w:wordWrap/>
        <w:overflowPunct/>
        <w:topLinePunct w:val="0"/>
        <w:autoSpaceDE/>
        <w:autoSpaceDN/>
        <w:bidi w:val="0"/>
        <w:adjustRightInd/>
        <w:snapToGrid w:val="0"/>
        <w:spacing w:line="420" w:lineRule="exact"/>
        <w:ind w:firstLine="482" w:firstLineChars="200"/>
        <w:contextualSpacing/>
        <w:jc w:val="left"/>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676D7111">
      <w:pPr>
        <w:pageBreakBefore w:val="0"/>
        <w:kinsoku/>
        <w:wordWrap/>
        <w:overflowPunct/>
        <w:topLinePunct w:val="0"/>
        <w:autoSpaceDE/>
        <w:autoSpaceDN/>
        <w:bidi w:val="0"/>
        <w:adjustRightInd/>
        <w:snapToGrid w:val="0"/>
        <w:spacing w:line="420" w:lineRule="exact"/>
        <w:ind w:firstLine="480" w:firstLineChars="200"/>
        <w:contextualSpacing/>
        <w:jc w:val="left"/>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sz w:val="24"/>
          <w:szCs w:val="24"/>
        </w:rPr>
        <w:t>《脑洞大开背后的创新思维》，是国家级视频公开课程、国家精品在线开放课程。</w:t>
      </w:r>
    </w:p>
    <w:p w14:paraId="43F402FB">
      <w:pPr>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420" w:lineRule="exact"/>
        <w:ind w:firstLine="480" w:firstLineChars="2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脑洞大开背后的创新思维》课程教学目标是帮助大学生了解创造性思维和创新方法在创新能力培养中的作用，培养大学生创造性思维，促使学生尽快掌握创新方法，让大学生学会独立思考、善于提问，将本课程所学知识能够应用于日常生活和课程学习中，最终达到提高大学生创新能力的目的。</w:t>
      </w:r>
    </w:p>
    <w:p w14:paraId="52001C24">
      <w:pPr>
        <w:pStyle w:val="21"/>
        <w:keepNext w:val="0"/>
        <w:keepLines w:val="0"/>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lang w:val="en-US" w:eastAsia="zh-CN"/>
        </w:rPr>
      </w:pPr>
      <w:bookmarkStart w:id="26" w:name="_Toc6871"/>
      <w:bookmarkStart w:id="27" w:name="_Toc25647"/>
    </w:p>
    <w:p w14:paraId="44849D13">
      <w:pPr>
        <w:pStyle w:val="21"/>
        <w:keepNext w:val="0"/>
        <w:keepLines w:val="0"/>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13</w:t>
      </w:r>
      <w:r>
        <w:rPr>
          <w:rFonts w:hint="default" w:ascii="Times New Roman" w:hAnsi="Times New Roman" w:cs="Times New Roman" w:eastAsiaTheme="minorEastAsia"/>
          <w:sz w:val="24"/>
          <w:szCs w:val="24"/>
        </w:rPr>
        <w:t>.法律与社会</w:t>
      </w:r>
      <w:bookmarkEnd w:id="26"/>
      <w:bookmarkEnd w:id="27"/>
    </w:p>
    <w:p w14:paraId="2D858CDF">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7989C313">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0B84724B">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在当代社会，人类社会的多元发展、冲突、融合也反映为法律制度的多元发展、冲突和融合。社会发展与当代中国法治建设是兼具理论价值和现实意义的重要问题。 当代大学生，既要具备社会责任感和社会敏感性，高度关注当代中国社会的重大问题和变革，能够从社会角度透视分析法律问题，也要具备法治观念，能从法律角度等切入分析甚至解决中国社会问题，做到“知法”、“守法”和“用法”，具备综合的素质和能力。</w:t>
      </w:r>
    </w:p>
    <w:p w14:paraId="2A427587">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课程将法律置于社会特别是当代中国社会的背景之中，关注法律现象与社会现象之间的关联与互动，强调法律制度的内在逻辑与经济的、政治的、文化以及社会结构的关系，研究法律的社会基础和社会作用，以把握当代中国社会和法律的发展趋势和问题。</w:t>
      </w:r>
    </w:p>
    <w:p w14:paraId="707D007B">
      <w:pPr>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420" w:lineRule="exact"/>
        <w:ind w:firstLine="480" w:firstLineChars="200"/>
        <w:jc w:val="left"/>
        <w:rPr>
          <w:rFonts w:hint="default" w:ascii="Times New Roman" w:hAnsi="Times New Roman" w:cs="Times New Roman" w:eastAsiaTheme="minorEastAsia"/>
          <w:sz w:val="24"/>
          <w:szCs w:val="24"/>
        </w:rPr>
      </w:pPr>
    </w:p>
    <w:p w14:paraId="47CBA394">
      <w:pPr>
        <w:pStyle w:val="22"/>
        <w:keepNext w:val="0"/>
        <w:keepLines w:val="0"/>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rPr>
      </w:pPr>
      <w:bookmarkStart w:id="28" w:name="_Toc3176"/>
      <w:bookmarkStart w:id="29" w:name="_Toc7866"/>
      <w:r>
        <w:rPr>
          <w:rFonts w:hint="default" w:ascii="Times New Roman" w:hAnsi="Times New Roman" w:cs="Times New Roman" w:eastAsiaTheme="minorEastAsia"/>
          <w:sz w:val="24"/>
          <w:szCs w:val="24"/>
          <w:lang w:val="en-US" w:eastAsia="zh-CN"/>
        </w:rPr>
        <w:t>14</w:t>
      </w:r>
      <w:r>
        <w:rPr>
          <w:rFonts w:hint="default" w:ascii="Times New Roman" w:hAnsi="Times New Roman" w:cs="Times New Roman" w:eastAsiaTheme="minorEastAsia"/>
          <w:sz w:val="24"/>
          <w:szCs w:val="24"/>
        </w:rPr>
        <w:t>.大国兵器</w:t>
      </w:r>
      <w:bookmarkEnd w:id="28"/>
      <w:bookmarkEnd w:id="29"/>
    </w:p>
    <w:p w14:paraId="1EA0BC0B">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学分：2</w:t>
      </w:r>
    </w:p>
    <w:p w14:paraId="1836160E">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eastAsia="zh-CN"/>
        </w:rPr>
        <w:t>课程简介:</w:t>
      </w:r>
    </w:p>
    <w:p w14:paraId="087F4895">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大国兵器”作为培养新时代大学生综合国防素质的通识课，采用“十位院士领衔主讲、专家学者专业授课、思政教师全程导航”的创新教学模式，通过“专业知识模块化”和“思政内容故事化”的课程设计，以“兵器知识的兴趣点”和“战例案例的关注点”为学生展示现代军事科技和武器装备的发展。</w:t>
      </w:r>
    </w:p>
    <w:p w14:paraId="3A0EE267">
      <w:pPr>
        <w:pageBreakBefore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sz w:val="24"/>
          <w:szCs w:val="24"/>
        </w:rPr>
      </w:pPr>
    </w:p>
    <w:p w14:paraId="30A6213A">
      <w:pPr>
        <w:pStyle w:val="22"/>
        <w:keepNext w:val="0"/>
        <w:keepLines w:val="0"/>
        <w:pageBreakBefore w:val="0"/>
        <w:kinsoku/>
        <w:wordWrap/>
        <w:overflowPunct/>
        <w:topLinePunct w:val="0"/>
        <w:autoSpaceDE/>
        <w:autoSpaceDN/>
        <w:bidi w:val="0"/>
        <w:adjustRightInd/>
        <w:spacing w:before="0" w:after="0" w:line="420" w:lineRule="exact"/>
        <w:ind w:firstLine="482" w:firstLineChars="200"/>
        <w:rPr>
          <w:rFonts w:hint="default" w:ascii="Times New Roman" w:hAnsi="Times New Roman" w:cs="Times New Roman" w:eastAsiaTheme="minorEastAsia"/>
          <w:sz w:val="24"/>
          <w:szCs w:val="24"/>
        </w:rPr>
      </w:pPr>
      <w:bookmarkStart w:id="30" w:name="_Toc11525"/>
      <w:bookmarkStart w:id="31" w:name="_Toc16593"/>
      <w:r>
        <w:rPr>
          <w:rFonts w:hint="default" w:ascii="Times New Roman" w:hAnsi="Times New Roman" w:cs="Times New Roman" w:eastAsiaTheme="minorEastAsia"/>
          <w:sz w:val="24"/>
          <w:szCs w:val="24"/>
          <w:lang w:val="en-US" w:eastAsia="zh-CN"/>
        </w:rPr>
        <w:t>15</w:t>
      </w:r>
      <w:r>
        <w:rPr>
          <w:rFonts w:hint="default" w:ascii="Times New Roman" w:hAnsi="Times New Roman" w:cs="Times New Roman" w:eastAsiaTheme="minorEastAsia"/>
          <w:sz w:val="24"/>
          <w:szCs w:val="24"/>
        </w:rPr>
        <w:t>.大学生国家安全教育</w:t>
      </w:r>
      <w:bookmarkEnd w:id="30"/>
      <w:bookmarkEnd w:id="31"/>
    </w:p>
    <w:p w14:paraId="1C1E763B">
      <w:pPr>
        <w:pageBreakBefore w:val="0"/>
        <w:kinsoku/>
        <w:wordWrap/>
        <w:overflowPunct/>
        <w:topLinePunct w:val="0"/>
        <w:autoSpaceDE/>
        <w:autoSpaceDN/>
        <w:bidi w:val="0"/>
        <w:adjustRightInd/>
        <w:spacing w:line="420" w:lineRule="exact"/>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学分：1</w:t>
      </w:r>
    </w:p>
    <w:p w14:paraId="428E835D">
      <w:pPr>
        <w:pageBreakBefore w:val="0"/>
        <w:kinsoku/>
        <w:wordWrap/>
        <w:overflowPunct/>
        <w:topLinePunct w:val="0"/>
        <w:autoSpaceDE/>
        <w:autoSpaceDN/>
        <w:bidi w:val="0"/>
        <w:adjustRightInd/>
        <w:spacing w:line="420" w:lineRule="exact"/>
        <w:ind w:firstLine="482" w:firstLineChars="200"/>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课程介绍</w:t>
      </w:r>
    </w:p>
    <w:p w14:paraId="4BDC3164">
      <w:pPr>
        <w:pStyle w:val="20"/>
        <w:pageBreakBefore w:val="0"/>
        <w:widowControl w:val="0"/>
        <w:kinsoku/>
        <w:wordWrap/>
        <w:overflowPunct/>
        <w:topLinePunct w:val="0"/>
        <w:autoSpaceDE/>
        <w:autoSpaceDN/>
        <w:bidi w:val="0"/>
        <w:adjustRightInd/>
        <w:spacing w:line="420" w:lineRule="exact"/>
        <w:ind w:firstLine="480" w:firstLineChars="200"/>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rPr>
        <w:t>课程覆盖《国家安全教育大学生读本》中的知识要点，全面系统阐释总体国家安全观。课程由导论和10章构成。导论主要介绍我国国家安全形势和大学生学习总体国家安全观的基本要求，第一至十章围绕总体国家安全观的理论体系、筑牢各重点领域安全屏障、新时代大学生践行总体国家安全观的实践要求等展开。本课程引导学生系统把握总体国家安全观，树立国家安全底线思维，将国家安全意识转化为自觉行动，强化责任担当。</w:t>
      </w:r>
    </w:p>
    <w:p w14:paraId="7376357B">
      <w:pPr>
        <w:pageBreakBefore w:val="0"/>
        <w:kinsoku/>
        <w:wordWrap/>
        <w:overflowPunct/>
        <w:topLinePunct w:val="0"/>
        <w:autoSpaceDE/>
        <w:autoSpaceDN/>
        <w:bidi w:val="0"/>
        <w:adjustRightInd/>
        <w:spacing w:line="420" w:lineRule="exact"/>
        <w:rPr>
          <w:rFonts w:ascii="微软雅黑" w:hAnsi="微软雅黑" w:eastAsia="微软雅黑" w:cs="宋体"/>
          <w:color w:val="3F3F3F"/>
          <w:spacing w:val="8"/>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048EC"/>
    <w:multiLevelType w:val="singleLevel"/>
    <w:tmpl w:val="C9E048E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09"/>
    <w:rsid w:val="00003338"/>
    <w:rsid w:val="00024A9D"/>
    <w:rsid w:val="000403DC"/>
    <w:rsid w:val="000578E6"/>
    <w:rsid w:val="00065495"/>
    <w:rsid w:val="00096DB7"/>
    <w:rsid w:val="000A3FAE"/>
    <w:rsid w:val="000E264E"/>
    <w:rsid w:val="00115D32"/>
    <w:rsid w:val="0012074B"/>
    <w:rsid w:val="00120DA7"/>
    <w:rsid w:val="0012780F"/>
    <w:rsid w:val="00127BF2"/>
    <w:rsid w:val="001B124A"/>
    <w:rsid w:val="001E7C6E"/>
    <w:rsid w:val="002078B1"/>
    <w:rsid w:val="002121B9"/>
    <w:rsid w:val="00254CE5"/>
    <w:rsid w:val="0029378C"/>
    <w:rsid w:val="002D6A2A"/>
    <w:rsid w:val="002E3C24"/>
    <w:rsid w:val="002E6051"/>
    <w:rsid w:val="002E72A6"/>
    <w:rsid w:val="002F0605"/>
    <w:rsid w:val="002F21BF"/>
    <w:rsid w:val="00310235"/>
    <w:rsid w:val="00337E30"/>
    <w:rsid w:val="0035645F"/>
    <w:rsid w:val="00367962"/>
    <w:rsid w:val="00375BD4"/>
    <w:rsid w:val="0039475E"/>
    <w:rsid w:val="003A0B01"/>
    <w:rsid w:val="003C1242"/>
    <w:rsid w:val="003F7224"/>
    <w:rsid w:val="004012AB"/>
    <w:rsid w:val="00466BDF"/>
    <w:rsid w:val="004C08C8"/>
    <w:rsid w:val="004C3A92"/>
    <w:rsid w:val="004E6B7A"/>
    <w:rsid w:val="004F7E24"/>
    <w:rsid w:val="005422D0"/>
    <w:rsid w:val="005462D7"/>
    <w:rsid w:val="00550D94"/>
    <w:rsid w:val="00567D8A"/>
    <w:rsid w:val="00570F7B"/>
    <w:rsid w:val="005752A1"/>
    <w:rsid w:val="005C1A47"/>
    <w:rsid w:val="005C5DE1"/>
    <w:rsid w:val="005F1C21"/>
    <w:rsid w:val="005F1CB4"/>
    <w:rsid w:val="00644266"/>
    <w:rsid w:val="0064516C"/>
    <w:rsid w:val="006C5603"/>
    <w:rsid w:val="006D17B0"/>
    <w:rsid w:val="006D4A6F"/>
    <w:rsid w:val="006D79A3"/>
    <w:rsid w:val="006E1D61"/>
    <w:rsid w:val="006F1AD3"/>
    <w:rsid w:val="00710E1F"/>
    <w:rsid w:val="0073295F"/>
    <w:rsid w:val="0074251B"/>
    <w:rsid w:val="0076594F"/>
    <w:rsid w:val="00773CF3"/>
    <w:rsid w:val="007748A5"/>
    <w:rsid w:val="0078517B"/>
    <w:rsid w:val="007B62B7"/>
    <w:rsid w:val="007C2952"/>
    <w:rsid w:val="007E3010"/>
    <w:rsid w:val="0081395D"/>
    <w:rsid w:val="00836FE4"/>
    <w:rsid w:val="00880332"/>
    <w:rsid w:val="008A64FB"/>
    <w:rsid w:val="008A6FBA"/>
    <w:rsid w:val="008B6E11"/>
    <w:rsid w:val="008D1A7E"/>
    <w:rsid w:val="008E14A7"/>
    <w:rsid w:val="00913608"/>
    <w:rsid w:val="00922E16"/>
    <w:rsid w:val="00923F44"/>
    <w:rsid w:val="00960149"/>
    <w:rsid w:val="009710BE"/>
    <w:rsid w:val="00976BED"/>
    <w:rsid w:val="009B6679"/>
    <w:rsid w:val="009F2047"/>
    <w:rsid w:val="00A13FB3"/>
    <w:rsid w:val="00A162F9"/>
    <w:rsid w:val="00A44D3F"/>
    <w:rsid w:val="00A4519C"/>
    <w:rsid w:val="00A6276C"/>
    <w:rsid w:val="00A87CF3"/>
    <w:rsid w:val="00AA74C4"/>
    <w:rsid w:val="00AD0446"/>
    <w:rsid w:val="00AD17BB"/>
    <w:rsid w:val="00AF4166"/>
    <w:rsid w:val="00B041E7"/>
    <w:rsid w:val="00B45B39"/>
    <w:rsid w:val="00B547D6"/>
    <w:rsid w:val="00B57C45"/>
    <w:rsid w:val="00B57EED"/>
    <w:rsid w:val="00B63B0E"/>
    <w:rsid w:val="00BA5684"/>
    <w:rsid w:val="00BB7C6E"/>
    <w:rsid w:val="00BD11D8"/>
    <w:rsid w:val="00BD4012"/>
    <w:rsid w:val="00BD46C9"/>
    <w:rsid w:val="00C14497"/>
    <w:rsid w:val="00C23B8D"/>
    <w:rsid w:val="00C258E2"/>
    <w:rsid w:val="00C42692"/>
    <w:rsid w:val="00C44EBA"/>
    <w:rsid w:val="00C508FA"/>
    <w:rsid w:val="00C50BB8"/>
    <w:rsid w:val="00C544E6"/>
    <w:rsid w:val="00C8481B"/>
    <w:rsid w:val="00C96C68"/>
    <w:rsid w:val="00C97594"/>
    <w:rsid w:val="00CA78C1"/>
    <w:rsid w:val="00CB3EEE"/>
    <w:rsid w:val="00D02DB9"/>
    <w:rsid w:val="00D52850"/>
    <w:rsid w:val="00D5346A"/>
    <w:rsid w:val="00D94D1E"/>
    <w:rsid w:val="00DA4018"/>
    <w:rsid w:val="00DA5F43"/>
    <w:rsid w:val="00DE5703"/>
    <w:rsid w:val="00E23E89"/>
    <w:rsid w:val="00E3139D"/>
    <w:rsid w:val="00E600E6"/>
    <w:rsid w:val="00E87101"/>
    <w:rsid w:val="00EA5E02"/>
    <w:rsid w:val="00EA7050"/>
    <w:rsid w:val="00EB3EB3"/>
    <w:rsid w:val="00EC21C0"/>
    <w:rsid w:val="00ED6242"/>
    <w:rsid w:val="00EE35C3"/>
    <w:rsid w:val="00F00280"/>
    <w:rsid w:val="00F021B7"/>
    <w:rsid w:val="00F14589"/>
    <w:rsid w:val="00F25A07"/>
    <w:rsid w:val="00F53709"/>
    <w:rsid w:val="00F56B59"/>
    <w:rsid w:val="00F62D6D"/>
    <w:rsid w:val="00F70E5D"/>
    <w:rsid w:val="00F80764"/>
    <w:rsid w:val="00F87281"/>
    <w:rsid w:val="00F9289B"/>
    <w:rsid w:val="00FB0C67"/>
    <w:rsid w:val="00FB67D7"/>
    <w:rsid w:val="00FE04F2"/>
    <w:rsid w:val="00FF5B1C"/>
    <w:rsid w:val="02F53218"/>
    <w:rsid w:val="03922815"/>
    <w:rsid w:val="04041965"/>
    <w:rsid w:val="040C0819"/>
    <w:rsid w:val="06A62738"/>
    <w:rsid w:val="0B381EF4"/>
    <w:rsid w:val="0E2844A2"/>
    <w:rsid w:val="0E76345F"/>
    <w:rsid w:val="1D4D182F"/>
    <w:rsid w:val="1DF63C75"/>
    <w:rsid w:val="231013EE"/>
    <w:rsid w:val="29023E15"/>
    <w:rsid w:val="290A2CCA"/>
    <w:rsid w:val="326A6587"/>
    <w:rsid w:val="34DE2CCB"/>
    <w:rsid w:val="37EA1692"/>
    <w:rsid w:val="3D766728"/>
    <w:rsid w:val="3E5A1EC9"/>
    <w:rsid w:val="42172448"/>
    <w:rsid w:val="42B86E9B"/>
    <w:rsid w:val="47D12ED9"/>
    <w:rsid w:val="4DCB5E2A"/>
    <w:rsid w:val="50045C84"/>
    <w:rsid w:val="547F3CBD"/>
    <w:rsid w:val="59C26B25"/>
    <w:rsid w:val="5A777E60"/>
    <w:rsid w:val="61505588"/>
    <w:rsid w:val="61730705"/>
    <w:rsid w:val="64A02343"/>
    <w:rsid w:val="694160D5"/>
    <w:rsid w:val="6C7F08A6"/>
    <w:rsid w:val="6DA530D3"/>
    <w:rsid w:val="6FC860C0"/>
    <w:rsid w:val="724539F8"/>
    <w:rsid w:val="72D8486C"/>
    <w:rsid w:val="737A1DC7"/>
    <w:rsid w:val="74B82BA7"/>
    <w:rsid w:val="763D575F"/>
    <w:rsid w:val="797D616D"/>
    <w:rsid w:val="7CEB01B5"/>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3" w:lineRule="auto"/>
      <w:outlineLvl w:val="2"/>
    </w:pPr>
    <w:rPr>
      <w:b/>
      <w:kern w:val="0"/>
      <w:sz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批注框文本 Char"/>
    <w:basedOn w:val="10"/>
    <w:link w:val="3"/>
    <w:semiHidden/>
    <w:qFormat/>
    <w:uiPriority w:val="99"/>
    <w:rPr>
      <w:sz w:val="18"/>
      <w:szCs w:val="18"/>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font11"/>
    <w:basedOn w:val="10"/>
    <w:uiPriority w:val="0"/>
    <w:rPr>
      <w:rFonts w:hint="eastAsia" w:ascii="宋体" w:hAnsi="宋体" w:eastAsia="宋体" w:cs="宋体"/>
      <w:color w:val="000000"/>
      <w:sz w:val="20"/>
      <w:szCs w:val="20"/>
      <w:u w:val="none"/>
    </w:rPr>
  </w:style>
  <w:style w:type="character" w:customStyle="1" w:styleId="17">
    <w:name w:val="font21"/>
    <w:basedOn w:val="10"/>
    <w:uiPriority w:val="0"/>
    <w:rPr>
      <w:rFonts w:ascii="Arial" w:hAnsi="Arial" w:cs="Arial"/>
      <w:color w:val="000000"/>
      <w:sz w:val="20"/>
      <w:szCs w:val="20"/>
      <w:u w:val="none"/>
    </w:rPr>
  </w:style>
  <w:style w:type="character" w:customStyle="1" w:styleId="18">
    <w:name w:val="font31"/>
    <w:basedOn w:val="10"/>
    <w:uiPriority w:val="0"/>
    <w:rPr>
      <w:rFonts w:hint="eastAsia" w:ascii="宋体" w:hAnsi="宋体" w:eastAsia="宋体" w:cs="宋体"/>
      <w:color w:val="000000"/>
      <w:sz w:val="20"/>
      <w:szCs w:val="20"/>
      <w:u w:val="none"/>
    </w:rPr>
  </w:style>
  <w:style w:type="paragraph" w:customStyle="1" w:styleId="19">
    <w:name w:val="标题标题"/>
    <w:basedOn w:val="20"/>
    <w:qFormat/>
    <w:uiPriority w:val="0"/>
    <w:rPr>
      <w:color w:val="FF0000"/>
    </w:rPr>
  </w:style>
  <w:style w:type="paragraph" w:customStyle="1" w:styleId="20">
    <w:name w:val="XXX"/>
    <w:basedOn w:val="1"/>
    <w:qFormat/>
    <w:uiPriority w:val="0"/>
    <w:pPr>
      <w:widowControl/>
      <w:snapToGrid w:val="0"/>
      <w:spacing w:line="360" w:lineRule="auto"/>
      <w:contextualSpacing/>
      <w:jc w:val="left"/>
      <w:textAlignment w:val="center"/>
    </w:pPr>
    <w:rPr>
      <w:rFonts w:ascii="宋体" w:hAnsi="宋体"/>
      <w:b/>
      <w:kern w:val="0"/>
      <w:sz w:val="20"/>
    </w:rPr>
  </w:style>
  <w:style w:type="paragraph" w:customStyle="1" w:styleId="21">
    <w:name w:val="样式222222"/>
    <w:basedOn w:val="2"/>
    <w:qFormat/>
    <w:uiPriority w:val="0"/>
    <w:pPr>
      <w:snapToGrid w:val="0"/>
      <w:spacing w:line="360" w:lineRule="auto"/>
      <w:contextualSpacing/>
      <w:jc w:val="left"/>
    </w:pPr>
    <w:rPr>
      <w:rFonts w:ascii="宋体" w:hAnsi="宋体"/>
      <w:color w:val="000000"/>
      <w:kern w:val="21"/>
    </w:rPr>
  </w:style>
  <w:style w:type="paragraph" w:customStyle="1" w:styleId="22">
    <w:name w:val="二级标题"/>
    <w:basedOn w:val="2"/>
    <w:qFormat/>
    <w:uiPriority w:val="0"/>
    <w:pPr>
      <w:snapToGrid w:val="0"/>
      <w:spacing w:line="360" w:lineRule="auto"/>
      <w:contextualSpacing/>
      <w:jc w:val="left"/>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8EDA-94E5-4F46-A909-668CC4421C0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7474</Words>
  <Characters>7566</Characters>
  <Lines>55</Lines>
  <Paragraphs>15</Paragraphs>
  <TotalTime>34</TotalTime>
  <ScaleCrop>false</ScaleCrop>
  <LinksUpToDate>false</LinksUpToDate>
  <CharactersWithSpaces>7592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2025-02-26T06:31:00Z</dcterms:created>
  <dc:creator>chin_g@163.com</dc:creator>
  <cp:lastModifiedBy>歆玥泡泡</cp:lastModifiedBy>
  <dcterms:modified xsi:type="dcterms:W3CDTF">2025-09-19T03:10:25Z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eyJoZGlkIjoiNmUwMjBkZmZmNzBhNjMxZTNiN2I2MzU0OTA3ZTVhMzUiLCJ1c2VySWQiOiI0MjkxMjc1MTcifQ==</vt:lpwstr>
  </property>
  <property fmtid="{D5CDD505-2E9C-101B-9397-08002B2CF9AE}" pid="3" name="KSOProductBuildVer">
    <vt:lpwstr>2052-12.1.0.22529</vt:lpwstr>
  </property>
  <property fmtid="{D5CDD505-2E9C-101B-9397-08002B2CF9AE}" pid="4" name="ICV">
    <vt:lpwstr>968009199CCD4AAEB4F3C58031222704_13</vt:lpwstr>
  </property>
</Properties>
</file>